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22" w:rsidRDefault="00284E22" w:rsidP="003900F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1008"/>
        <w:rPr>
          <w:rFonts w:cs="Arial"/>
          <w:b/>
          <w:lang w:eastAsia="zh-TW"/>
        </w:rPr>
      </w:pPr>
    </w:p>
    <w:p w:rsidR="00284E22" w:rsidRDefault="00284E22" w:rsidP="00284E22">
      <w:pPr>
        <w:pStyle w:val="Title"/>
        <w:rPr>
          <w:rFonts w:ascii="Arial" w:hAnsi="Arial" w:cs="Arial"/>
          <w:szCs w:val="24"/>
        </w:rPr>
      </w:pPr>
      <w:r>
        <w:rPr>
          <w:rFonts w:ascii="Arial" w:hAnsi="Arial" w:cs="Arial"/>
        </w:rPr>
        <w:t>INFORMATION SHEET</w:t>
      </w:r>
    </w:p>
    <w:p w:rsidR="00284E22" w:rsidRDefault="00284E22" w:rsidP="00284E22">
      <w:pPr>
        <w:pBdr>
          <w:bottom w:val="single" w:sz="24" w:space="1" w:color="auto"/>
        </w:pBdr>
        <w:tabs>
          <w:tab w:val="left" w:pos="3000"/>
        </w:tabs>
        <w:rPr>
          <w:rFonts w:cs="Arial"/>
          <w:b/>
        </w:rPr>
      </w:pPr>
    </w:p>
    <w:p w:rsidR="003900FC" w:rsidRPr="003900FC" w:rsidRDefault="003900FC" w:rsidP="00284E22">
      <w:pPr>
        <w:tabs>
          <w:tab w:val="left" w:pos="2520"/>
        </w:tabs>
        <w:rPr>
          <w:rFonts w:cs="Arial"/>
          <w:b/>
          <w:bCs w:val="0"/>
          <w:sz w:val="16"/>
          <w:szCs w:val="16"/>
        </w:rPr>
      </w:pPr>
    </w:p>
    <w:p w:rsidR="00284E22" w:rsidRDefault="00284E22" w:rsidP="00284E22">
      <w:pPr>
        <w:tabs>
          <w:tab w:val="left" w:pos="2520"/>
        </w:tabs>
        <w:rPr>
          <w:rFonts w:cs="Arial"/>
          <w:b/>
          <w:bCs w:val="0"/>
          <w:lang w:eastAsia="zh-TW"/>
        </w:rPr>
      </w:pPr>
      <w:r>
        <w:rPr>
          <w:rFonts w:cs="Arial"/>
          <w:b/>
          <w:bCs w:val="0"/>
        </w:rPr>
        <w:t xml:space="preserve">NO.  </w:t>
      </w:r>
      <w:r>
        <w:rPr>
          <w:rFonts w:cs="Arial"/>
          <w:b/>
          <w:bCs w:val="0"/>
          <w:lang w:eastAsia="zh-TW"/>
        </w:rPr>
        <w:t>DA-</w:t>
      </w:r>
      <w:r w:rsidR="0058375D">
        <w:rPr>
          <w:rFonts w:cs="Arial"/>
          <w:b/>
          <w:bCs w:val="0"/>
          <w:lang w:eastAsia="zh-TW"/>
        </w:rPr>
        <w:t>08</w:t>
      </w:r>
    </w:p>
    <w:p w:rsidR="00284E22" w:rsidRDefault="00284E22" w:rsidP="00284E22">
      <w:pPr>
        <w:rPr>
          <w:rFonts w:cs="Arial"/>
          <w:b/>
          <w:bCs w:val="0"/>
        </w:rPr>
      </w:pPr>
    </w:p>
    <w:p w:rsidR="00284E22" w:rsidRPr="0043531F" w:rsidRDefault="00284E22" w:rsidP="00284E22">
      <w:pPr>
        <w:pStyle w:val="Header"/>
        <w:tabs>
          <w:tab w:val="left" w:pos="2340"/>
          <w:tab w:val="left" w:pos="2610"/>
        </w:tabs>
        <w:rPr>
          <w:rFonts w:cs="Arial"/>
          <w:bCs w:val="0"/>
          <w:sz w:val="22"/>
          <w:szCs w:val="22"/>
          <w:lang w:eastAsia="zh-TW"/>
        </w:rPr>
      </w:pPr>
      <w:r w:rsidRPr="0043531F">
        <w:rPr>
          <w:rFonts w:cs="Arial"/>
          <w:b/>
          <w:bCs w:val="0"/>
          <w:sz w:val="22"/>
          <w:szCs w:val="22"/>
        </w:rPr>
        <w:t>DATE</w:t>
      </w:r>
      <w:r w:rsidRPr="0043531F">
        <w:rPr>
          <w:rFonts w:cs="Arial"/>
          <w:b/>
          <w:bCs w:val="0"/>
          <w:sz w:val="22"/>
          <w:szCs w:val="22"/>
        </w:rPr>
        <w:tab/>
        <w:t>:</w:t>
      </w:r>
      <w:r w:rsidRPr="0043531F">
        <w:rPr>
          <w:rFonts w:cs="Arial"/>
          <w:b/>
          <w:bCs w:val="0"/>
          <w:sz w:val="22"/>
          <w:szCs w:val="22"/>
        </w:rPr>
        <w:tab/>
      </w:r>
      <w:r w:rsidR="00A51CAB" w:rsidRPr="0043531F">
        <w:rPr>
          <w:rFonts w:cs="Arial"/>
          <w:bCs w:val="0"/>
          <w:sz w:val="22"/>
          <w:szCs w:val="22"/>
          <w:lang w:eastAsia="zh-TW"/>
        </w:rPr>
        <w:t>Octo</w:t>
      </w:r>
      <w:r w:rsidRPr="0043531F">
        <w:rPr>
          <w:rFonts w:cs="Arial"/>
          <w:bCs w:val="0"/>
          <w:sz w:val="22"/>
          <w:szCs w:val="22"/>
          <w:lang w:eastAsia="zh-TW"/>
        </w:rPr>
        <w:t xml:space="preserve">ber </w:t>
      </w:r>
      <w:r w:rsidR="00A51CAB" w:rsidRPr="0043531F">
        <w:rPr>
          <w:rFonts w:cs="Arial"/>
          <w:bCs w:val="0"/>
          <w:sz w:val="22"/>
          <w:szCs w:val="22"/>
          <w:lang w:eastAsia="zh-TW"/>
        </w:rPr>
        <w:t>29</w:t>
      </w:r>
      <w:r w:rsidRPr="0043531F">
        <w:rPr>
          <w:rFonts w:cs="Arial"/>
          <w:bCs w:val="0"/>
          <w:sz w:val="22"/>
          <w:szCs w:val="22"/>
          <w:lang w:eastAsia="zh-TW"/>
        </w:rPr>
        <w:t>, 2014</w:t>
      </w:r>
    </w:p>
    <w:p w:rsidR="00284E22" w:rsidRPr="0043531F" w:rsidRDefault="00284E22" w:rsidP="00284E22">
      <w:pPr>
        <w:tabs>
          <w:tab w:val="left" w:pos="2160"/>
          <w:tab w:val="left" w:pos="2340"/>
          <w:tab w:val="left" w:pos="2610"/>
        </w:tabs>
        <w:rPr>
          <w:rFonts w:cs="Arial"/>
          <w:b/>
          <w:bCs w:val="0"/>
          <w:sz w:val="22"/>
          <w:szCs w:val="22"/>
        </w:rPr>
      </w:pPr>
    </w:p>
    <w:p w:rsidR="00284E22" w:rsidRPr="0043531F" w:rsidRDefault="00284E22" w:rsidP="00284E22">
      <w:pPr>
        <w:tabs>
          <w:tab w:val="left" w:pos="2340"/>
          <w:tab w:val="left" w:pos="2610"/>
        </w:tabs>
        <w:ind w:left="2520" w:hanging="2520"/>
        <w:rPr>
          <w:rFonts w:cs="Arial"/>
          <w:b/>
          <w:bCs w:val="0"/>
          <w:sz w:val="22"/>
          <w:szCs w:val="22"/>
        </w:rPr>
      </w:pPr>
      <w:r w:rsidRPr="0043531F">
        <w:rPr>
          <w:rFonts w:cs="Arial"/>
          <w:b/>
          <w:bCs w:val="0"/>
          <w:sz w:val="22"/>
          <w:szCs w:val="22"/>
        </w:rPr>
        <w:t>CATEGORY</w:t>
      </w:r>
      <w:r w:rsidRPr="0043531F">
        <w:rPr>
          <w:rFonts w:cs="Arial"/>
          <w:b/>
          <w:bCs w:val="0"/>
          <w:sz w:val="22"/>
          <w:szCs w:val="22"/>
        </w:rPr>
        <w:tab/>
        <w:t>:</w:t>
      </w:r>
      <w:r w:rsidRPr="0043531F">
        <w:rPr>
          <w:rFonts w:cs="Arial"/>
          <w:b/>
          <w:bCs w:val="0"/>
          <w:sz w:val="22"/>
          <w:szCs w:val="22"/>
        </w:rPr>
        <w:tab/>
        <w:t xml:space="preserve"> </w:t>
      </w:r>
      <w:r w:rsidRPr="0043531F">
        <w:rPr>
          <w:rFonts w:cs="Arial"/>
          <w:bCs w:val="0"/>
          <w:sz w:val="22"/>
          <w:szCs w:val="22"/>
        </w:rPr>
        <w:t>Disabled Access</w:t>
      </w:r>
    </w:p>
    <w:p w:rsidR="00284E22" w:rsidRPr="0043531F" w:rsidRDefault="00284E22" w:rsidP="00284E22">
      <w:pPr>
        <w:tabs>
          <w:tab w:val="left" w:pos="2340"/>
          <w:tab w:val="left" w:pos="2610"/>
        </w:tabs>
        <w:ind w:left="2520" w:hanging="2520"/>
        <w:rPr>
          <w:rFonts w:cs="Arial"/>
          <w:b/>
          <w:bCs w:val="0"/>
          <w:sz w:val="22"/>
          <w:szCs w:val="22"/>
        </w:rPr>
      </w:pPr>
    </w:p>
    <w:p w:rsidR="00284E22" w:rsidRPr="0043531F" w:rsidRDefault="0058375D" w:rsidP="00284E22">
      <w:pPr>
        <w:tabs>
          <w:tab w:val="left" w:pos="2340"/>
          <w:tab w:val="left" w:pos="2610"/>
        </w:tabs>
        <w:ind w:left="2520" w:hanging="2520"/>
        <w:rPr>
          <w:rFonts w:cs="Arial"/>
          <w:b/>
          <w:bCs w:val="0"/>
          <w:sz w:val="22"/>
          <w:szCs w:val="22"/>
          <w:lang w:eastAsia="zh-TW"/>
        </w:rPr>
      </w:pPr>
      <w:r w:rsidRPr="0043531F">
        <w:rPr>
          <w:rFonts w:cs="Arial"/>
          <w:b/>
          <w:bCs w:val="0"/>
          <w:sz w:val="22"/>
          <w:szCs w:val="22"/>
        </w:rPr>
        <w:t>SUBJECT</w:t>
      </w:r>
      <w:r w:rsidRPr="0043531F">
        <w:rPr>
          <w:rFonts w:cs="Arial"/>
          <w:b/>
          <w:bCs w:val="0"/>
          <w:sz w:val="22"/>
          <w:szCs w:val="22"/>
        </w:rPr>
        <w:tab/>
        <w:t>:</w:t>
      </w:r>
      <w:r w:rsidRPr="0043531F">
        <w:rPr>
          <w:rFonts w:cs="Arial"/>
          <w:b/>
          <w:bCs w:val="0"/>
          <w:sz w:val="22"/>
          <w:szCs w:val="22"/>
        </w:rPr>
        <w:tab/>
        <w:t xml:space="preserve"> Accessible Rout</w:t>
      </w:r>
      <w:r w:rsidR="00284E22" w:rsidRPr="0043531F">
        <w:rPr>
          <w:rFonts w:cs="Arial"/>
          <w:b/>
          <w:bCs w:val="0"/>
          <w:sz w:val="22"/>
          <w:szCs w:val="22"/>
        </w:rPr>
        <w:t>e to Accessible Toilet Compartments</w:t>
      </w:r>
    </w:p>
    <w:p w:rsidR="00284E22" w:rsidRPr="0043531F" w:rsidRDefault="00284E22" w:rsidP="00284E22">
      <w:pPr>
        <w:pBdr>
          <w:bottom w:val="single" w:sz="24" w:space="1" w:color="auto"/>
        </w:pBdr>
        <w:tabs>
          <w:tab w:val="left" w:pos="2160"/>
          <w:tab w:val="left" w:pos="2340"/>
          <w:tab w:val="left" w:pos="2610"/>
        </w:tabs>
        <w:rPr>
          <w:rFonts w:cs="Arial"/>
          <w:b/>
          <w:bCs w:val="0"/>
          <w:sz w:val="22"/>
          <w:szCs w:val="22"/>
        </w:rPr>
      </w:pPr>
    </w:p>
    <w:p w:rsidR="00284E22" w:rsidRPr="0043531F" w:rsidRDefault="00284E22" w:rsidP="00284E22">
      <w:pPr>
        <w:tabs>
          <w:tab w:val="left" w:pos="1800"/>
          <w:tab w:val="left" w:pos="2160"/>
          <w:tab w:val="left" w:pos="2340"/>
          <w:tab w:val="left" w:pos="2610"/>
        </w:tabs>
        <w:rPr>
          <w:rFonts w:cs="Arial"/>
          <w:bCs w:val="0"/>
          <w:sz w:val="22"/>
          <w:szCs w:val="22"/>
        </w:rPr>
      </w:pPr>
    </w:p>
    <w:p w:rsidR="00284E22" w:rsidRPr="0043531F" w:rsidRDefault="00284E22" w:rsidP="00284E22">
      <w:pPr>
        <w:tabs>
          <w:tab w:val="left" w:pos="2340"/>
          <w:tab w:val="left" w:pos="2610"/>
        </w:tabs>
        <w:ind w:left="2520" w:hanging="2520"/>
        <w:rPr>
          <w:rFonts w:cs="Arial"/>
          <w:b/>
          <w:sz w:val="22"/>
          <w:szCs w:val="22"/>
        </w:rPr>
      </w:pPr>
      <w:r w:rsidRPr="0043531F">
        <w:rPr>
          <w:rFonts w:cs="Arial"/>
          <w:b/>
          <w:bCs w:val="0"/>
          <w:sz w:val="22"/>
          <w:szCs w:val="22"/>
        </w:rPr>
        <w:t xml:space="preserve">SECTIONS </w:t>
      </w:r>
    </w:p>
    <w:p w:rsidR="00284E22" w:rsidRPr="0043531F" w:rsidRDefault="00284E22" w:rsidP="00284E22">
      <w:pPr>
        <w:tabs>
          <w:tab w:val="left" w:pos="2340"/>
        </w:tabs>
        <w:rPr>
          <w:rFonts w:cs="Arial"/>
          <w:b/>
          <w:bCs w:val="0"/>
          <w:sz w:val="22"/>
          <w:szCs w:val="22"/>
        </w:rPr>
      </w:pPr>
      <w:r w:rsidRPr="0043531F">
        <w:rPr>
          <w:rFonts w:cs="Arial"/>
          <w:b/>
          <w:bCs w:val="0"/>
          <w:sz w:val="22"/>
          <w:szCs w:val="22"/>
        </w:rPr>
        <w:t>INVOLVED</w:t>
      </w:r>
      <w:r w:rsidRPr="0043531F">
        <w:rPr>
          <w:rFonts w:cs="Arial"/>
          <w:b/>
          <w:bCs w:val="0"/>
          <w:sz w:val="22"/>
          <w:szCs w:val="22"/>
        </w:rPr>
        <w:tab/>
        <w:t xml:space="preserve">:  </w:t>
      </w:r>
      <w:r w:rsidR="0043531F" w:rsidRPr="0043531F">
        <w:rPr>
          <w:rFonts w:cs="Arial"/>
          <w:b/>
          <w:bCs w:val="0"/>
          <w:sz w:val="22"/>
          <w:szCs w:val="22"/>
        </w:rPr>
        <w:t xml:space="preserve"> </w:t>
      </w:r>
      <w:r w:rsidRPr="0043531F">
        <w:rPr>
          <w:rFonts w:cs="Arial"/>
          <w:b/>
          <w:bCs w:val="0"/>
          <w:sz w:val="22"/>
          <w:szCs w:val="22"/>
        </w:rPr>
        <w:t>California Building Code (CBC) Sections;</w:t>
      </w:r>
    </w:p>
    <w:p w:rsidR="00284E22" w:rsidRPr="0043531F" w:rsidRDefault="00284E22" w:rsidP="00284E22">
      <w:pPr>
        <w:tabs>
          <w:tab w:val="left" w:pos="2610"/>
        </w:tabs>
        <w:rPr>
          <w:rFonts w:cs="Arial"/>
          <w:bCs w:val="0"/>
          <w:sz w:val="22"/>
          <w:szCs w:val="22"/>
        </w:rPr>
      </w:pPr>
      <w:r w:rsidRPr="0043531F">
        <w:rPr>
          <w:rFonts w:cs="Arial"/>
          <w:b/>
          <w:bCs w:val="0"/>
          <w:sz w:val="22"/>
          <w:szCs w:val="22"/>
        </w:rPr>
        <w:tab/>
      </w:r>
      <w:r w:rsidR="004525C6" w:rsidRPr="0043531F">
        <w:rPr>
          <w:rFonts w:cs="Arial"/>
          <w:sz w:val="22"/>
          <w:szCs w:val="22"/>
        </w:rPr>
        <w:t>2010 CBC Section 1115B.3.1 #4.5 Multi-Accommodation Toilet Facilities</w:t>
      </w:r>
    </w:p>
    <w:p w:rsidR="004525C6" w:rsidRPr="0043531F" w:rsidRDefault="004525C6" w:rsidP="00284E22">
      <w:pPr>
        <w:ind w:left="2610"/>
        <w:rPr>
          <w:rFonts w:cs="Arial"/>
          <w:sz w:val="22"/>
          <w:szCs w:val="22"/>
        </w:rPr>
      </w:pPr>
      <w:r w:rsidRPr="0043531F">
        <w:rPr>
          <w:rFonts w:cs="Arial"/>
          <w:sz w:val="22"/>
          <w:szCs w:val="22"/>
        </w:rPr>
        <w:t>2013 CBC Section 11B-403.5.1 (Exception 5) Clear Width</w:t>
      </w:r>
    </w:p>
    <w:p w:rsidR="00284E22" w:rsidRPr="0043531F" w:rsidRDefault="004525C6" w:rsidP="00284E22">
      <w:pPr>
        <w:ind w:left="2610"/>
        <w:rPr>
          <w:rFonts w:cs="Arial"/>
          <w:sz w:val="22"/>
          <w:szCs w:val="22"/>
        </w:rPr>
      </w:pPr>
      <w:r w:rsidRPr="0043531F">
        <w:rPr>
          <w:rFonts w:cs="Arial"/>
          <w:sz w:val="22"/>
          <w:szCs w:val="22"/>
        </w:rPr>
        <w:t>DSA-AC Final Expressed Terms Dated June 27, 2014</w:t>
      </w:r>
    </w:p>
    <w:p w:rsidR="00284E22" w:rsidRPr="0043531F" w:rsidRDefault="004525C6" w:rsidP="00284E22">
      <w:pPr>
        <w:tabs>
          <w:tab w:val="left" w:pos="-1440"/>
          <w:tab w:val="left" w:pos="-720"/>
          <w:tab w:val="left" w:pos="1749"/>
          <w:tab w:val="left" w:pos="2138"/>
          <w:tab w:val="left" w:pos="2340"/>
          <w:tab w:val="left" w:pos="2610"/>
        </w:tabs>
        <w:ind w:left="2138" w:hanging="2138"/>
        <w:jc w:val="both"/>
        <w:rPr>
          <w:rFonts w:cs="Arial"/>
          <w:sz w:val="22"/>
          <w:szCs w:val="22"/>
        </w:rPr>
      </w:pPr>
      <w:r w:rsidRPr="0043531F">
        <w:rPr>
          <w:rFonts w:cs="Arial"/>
          <w:sz w:val="22"/>
          <w:szCs w:val="22"/>
        </w:rPr>
        <w:tab/>
      </w:r>
      <w:r w:rsidRPr="0043531F">
        <w:rPr>
          <w:rFonts w:cs="Arial"/>
          <w:sz w:val="22"/>
          <w:szCs w:val="22"/>
        </w:rPr>
        <w:tab/>
      </w:r>
      <w:r w:rsidRPr="0043531F">
        <w:rPr>
          <w:rFonts w:cs="Arial"/>
          <w:sz w:val="22"/>
          <w:szCs w:val="22"/>
        </w:rPr>
        <w:tab/>
      </w:r>
      <w:r w:rsidRPr="0043531F">
        <w:rPr>
          <w:rFonts w:cs="Arial"/>
          <w:sz w:val="22"/>
          <w:szCs w:val="22"/>
        </w:rPr>
        <w:tab/>
        <w:t>DSA-AC Initial Statement of Reasons Dated December 23, 2013</w:t>
      </w:r>
    </w:p>
    <w:p w:rsidR="004525C6" w:rsidRPr="0043531F" w:rsidRDefault="004525C6" w:rsidP="003900FC">
      <w:pPr>
        <w:tabs>
          <w:tab w:val="left" w:pos="-1440"/>
          <w:tab w:val="left" w:pos="-720"/>
          <w:tab w:val="left" w:pos="1749"/>
          <w:tab w:val="left" w:pos="2138"/>
          <w:tab w:val="left" w:pos="2340"/>
          <w:tab w:val="left" w:pos="2610"/>
        </w:tabs>
        <w:jc w:val="both"/>
        <w:rPr>
          <w:rFonts w:cs="Arial"/>
          <w:sz w:val="22"/>
          <w:szCs w:val="22"/>
        </w:rPr>
      </w:pPr>
    </w:p>
    <w:p w:rsidR="00284E22" w:rsidRPr="0043531F" w:rsidRDefault="00284E22" w:rsidP="0043531F">
      <w:pPr>
        <w:tabs>
          <w:tab w:val="left" w:pos="-1440"/>
          <w:tab w:val="left" w:pos="-720"/>
          <w:tab w:val="left" w:pos="1749"/>
          <w:tab w:val="left" w:pos="2340"/>
          <w:tab w:val="left" w:pos="2610"/>
        </w:tabs>
        <w:ind w:left="2610" w:hanging="2610"/>
        <w:rPr>
          <w:rFonts w:cs="Arial"/>
          <w:sz w:val="22"/>
          <w:szCs w:val="22"/>
          <w:lang w:eastAsia="zh-TW"/>
        </w:rPr>
      </w:pPr>
      <w:r w:rsidRPr="0043531F">
        <w:rPr>
          <w:rFonts w:cs="Arial"/>
          <w:b/>
          <w:bCs w:val="0"/>
          <w:sz w:val="22"/>
          <w:szCs w:val="22"/>
        </w:rPr>
        <w:t>INTENT</w:t>
      </w:r>
      <w:r w:rsidRPr="0043531F">
        <w:rPr>
          <w:rFonts w:cs="Arial"/>
          <w:b/>
          <w:bCs w:val="0"/>
          <w:sz w:val="22"/>
          <w:szCs w:val="22"/>
          <w:lang w:eastAsia="zh-TW"/>
        </w:rPr>
        <w:tab/>
      </w:r>
      <w:r w:rsidRPr="0043531F">
        <w:rPr>
          <w:rFonts w:cs="Arial"/>
          <w:b/>
          <w:bCs w:val="0"/>
          <w:sz w:val="22"/>
          <w:szCs w:val="22"/>
          <w:lang w:eastAsia="zh-TW"/>
        </w:rPr>
        <w:tab/>
        <w:t>:</w:t>
      </w:r>
      <w:r w:rsidRPr="0043531F">
        <w:rPr>
          <w:rFonts w:cs="Arial"/>
          <w:b/>
          <w:bCs w:val="0"/>
          <w:sz w:val="22"/>
          <w:szCs w:val="22"/>
        </w:rPr>
        <w:t xml:space="preserve">   </w:t>
      </w:r>
      <w:r w:rsidRPr="0043531F">
        <w:rPr>
          <w:rFonts w:cs="Arial"/>
          <w:sz w:val="22"/>
          <w:szCs w:val="22"/>
        </w:rPr>
        <w:t xml:space="preserve">To </w:t>
      </w:r>
      <w:r w:rsidR="004525C6" w:rsidRPr="0043531F">
        <w:rPr>
          <w:rFonts w:cs="Arial"/>
          <w:sz w:val="22"/>
          <w:szCs w:val="22"/>
        </w:rPr>
        <w:t xml:space="preserve">Clarify the requirement for a 44” wide accessible route </w:t>
      </w:r>
      <w:r w:rsidR="00DD0A5D" w:rsidRPr="0043531F">
        <w:rPr>
          <w:rFonts w:cs="Arial"/>
          <w:sz w:val="22"/>
          <w:szCs w:val="22"/>
        </w:rPr>
        <w:t>within a multi</w:t>
      </w:r>
      <w:r w:rsidR="0043531F" w:rsidRPr="0043531F">
        <w:rPr>
          <w:rFonts w:cs="Arial"/>
          <w:sz w:val="22"/>
          <w:szCs w:val="22"/>
        </w:rPr>
        <w:t>-</w:t>
      </w:r>
      <w:r w:rsidR="00DD0A5D" w:rsidRPr="0043531F">
        <w:rPr>
          <w:rFonts w:cs="Arial"/>
          <w:sz w:val="22"/>
          <w:szCs w:val="22"/>
        </w:rPr>
        <w:t xml:space="preserve"> </w:t>
      </w:r>
      <w:r w:rsidR="004525C6" w:rsidRPr="0043531F">
        <w:rPr>
          <w:rFonts w:cs="Arial"/>
          <w:sz w:val="22"/>
          <w:szCs w:val="22"/>
        </w:rPr>
        <w:t xml:space="preserve">accommodation toilet or bathing facility to an accessible stall. </w:t>
      </w:r>
    </w:p>
    <w:p w:rsidR="00284E22" w:rsidRPr="0043531F" w:rsidRDefault="00284E22" w:rsidP="00284E22">
      <w:pPr>
        <w:tabs>
          <w:tab w:val="left" w:pos="2340"/>
          <w:tab w:val="left" w:pos="2610"/>
        </w:tabs>
        <w:rPr>
          <w:rFonts w:cs="Arial"/>
          <w:b/>
          <w:color w:val="002060"/>
          <w:sz w:val="22"/>
          <w:szCs w:val="22"/>
        </w:rPr>
      </w:pPr>
    </w:p>
    <w:p w:rsidR="00284E22" w:rsidRPr="0043531F" w:rsidRDefault="00284E22" w:rsidP="00284E22">
      <w:pPr>
        <w:tabs>
          <w:tab w:val="left" w:pos="2340"/>
          <w:tab w:val="left" w:pos="2610"/>
        </w:tabs>
        <w:ind w:left="2520" w:hanging="2520"/>
        <w:rPr>
          <w:rFonts w:cs="Arial"/>
          <w:b/>
          <w:color w:val="000000" w:themeColor="text1"/>
          <w:sz w:val="22"/>
          <w:szCs w:val="22"/>
          <w:lang w:eastAsia="zh-TW"/>
        </w:rPr>
      </w:pPr>
      <w:r w:rsidRPr="0043531F">
        <w:rPr>
          <w:rFonts w:cs="Arial"/>
          <w:b/>
          <w:color w:val="000000" w:themeColor="text1"/>
          <w:sz w:val="22"/>
          <w:szCs w:val="22"/>
        </w:rPr>
        <w:t>DISCUSSION</w:t>
      </w:r>
      <w:r w:rsidRPr="0043531F">
        <w:rPr>
          <w:rFonts w:cs="Arial"/>
          <w:color w:val="000000" w:themeColor="text1"/>
          <w:sz w:val="22"/>
          <w:szCs w:val="22"/>
        </w:rPr>
        <w:t xml:space="preserve">    </w:t>
      </w:r>
      <w:r w:rsidRPr="0043531F">
        <w:rPr>
          <w:rFonts w:cs="Arial"/>
          <w:color w:val="000000" w:themeColor="text1"/>
          <w:sz w:val="22"/>
          <w:szCs w:val="22"/>
        </w:rPr>
        <w:tab/>
      </w:r>
      <w:r w:rsidRPr="0043531F">
        <w:rPr>
          <w:rFonts w:cs="Arial"/>
          <w:b/>
          <w:color w:val="000000" w:themeColor="text1"/>
          <w:sz w:val="22"/>
          <w:szCs w:val="22"/>
        </w:rPr>
        <w:t xml:space="preserve">: </w:t>
      </w:r>
    </w:p>
    <w:p w:rsidR="00284E22" w:rsidRPr="0043531F" w:rsidRDefault="00284E22" w:rsidP="00284E22">
      <w:pPr>
        <w:tabs>
          <w:tab w:val="left" w:pos="-1440"/>
          <w:tab w:val="left" w:pos="810"/>
          <w:tab w:val="left" w:pos="1749"/>
          <w:tab w:val="left" w:pos="2340"/>
          <w:tab w:val="left" w:pos="2610"/>
        </w:tabs>
        <w:ind w:left="810" w:hanging="2138"/>
        <w:jc w:val="both"/>
        <w:rPr>
          <w:rFonts w:cs="Arial"/>
          <w:color w:val="000000" w:themeColor="text1"/>
          <w:sz w:val="22"/>
          <w:szCs w:val="22"/>
          <w:lang w:eastAsia="zh-TW"/>
        </w:rPr>
      </w:pPr>
      <w:r w:rsidRPr="0043531F">
        <w:rPr>
          <w:rFonts w:cs="Arial"/>
          <w:color w:val="000000" w:themeColor="text1"/>
          <w:sz w:val="22"/>
          <w:szCs w:val="22"/>
          <w:lang w:eastAsia="zh-TW"/>
        </w:rPr>
        <w:t xml:space="preserve">            </w:t>
      </w:r>
      <w:r w:rsidRPr="0043531F">
        <w:rPr>
          <w:rFonts w:cs="Arial"/>
          <w:color w:val="000000" w:themeColor="text1"/>
          <w:sz w:val="22"/>
          <w:szCs w:val="22"/>
          <w:lang w:eastAsia="zh-TW"/>
        </w:rPr>
        <w:tab/>
      </w:r>
    </w:p>
    <w:p w:rsidR="006A1A3C" w:rsidRPr="0043531F" w:rsidRDefault="00DC6F57" w:rsidP="00DA1377">
      <w:pPr>
        <w:ind w:right="540"/>
        <w:rPr>
          <w:rFonts w:cs="Arial"/>
          <w:sz w:val="22"/>
          <w:szCs w:val="22"/>
        </w:rPr>
      </w:pPr>
      <w:r w:rsidRPr="0043531F">
        <w:rPr>
          <w:rFonts w:cs="Arial"/>
          <w:sz w:val="22"/>
          <w:szCs w:val="22"/>
        </w:rPr>
        <w:t>In Chapter 11B of the</w:t>
      </w:r>
      <w:r w:rsidR="004525C6" w:rsidRPr="0043531F">
        <w:rPr>
          <w:rFonts w:cs="Arial"/>
          <w:sz w:val="22"/>
          <w:szCs w:val="22"/>
        </w:rPr>
        <w:t xml:space="preserve"> 2010 CBC and</w:t>
      </w:r>
      <w:r w:rsidRPr="0043531F">
        <w:rPr>
          <w:rFonts w:cs="Arial"/>
          <w:sz w:val="22"/>
          <w:szCs w:val="22"/>
        </w:rPr>
        <w:t xml:space="preserve"> within previous editions of the code, there has been a stated requirement for a 44” wide accessible route to all accessible toilet compartments. After adoption and issuance of the 2013 edition of the code it was discovered that this section was inadvertently omitted from the final printing. The requirement was found under multi-accommodation toilet facilities in the previous code and, with the adoption of the 2010 ADA Guidelines as a model code, should have migrated to Section 11B-403.5.1 Clear width of accessible routes. It was left out.</w:t>
      </w:r>
    </w:p>
    <w:p w:rsidR="00DC6F57" w:rsidRPr="0043531F" w:rsidRDefault="00DC6F57" w:rsidP="00DC6F57">
      <w:pPr>
        <w:rPr>
          <w:rFonts w:cs="Arial"/>
          <w:sz w:val="22"/>
          <w:szCs w:val="22"/>
        </w:rPr>
      </w:pPr>
    </w:p>
    <w:p w:rsidR="006A1A3C" w:rsidRPr="0043531F" w:rsidRDefault="00EC4A6A" w:rsidP="00DA1377">
      <w:pPr>
        <w:spacing w:line="240" w:lineRule="atLeast"/>
        <w:ind w:right="810"/>
        <w:rPr>
          <w:rFonts w:cs="Arial"/>
          <w:sz w:val="22"/>
          <w:szCs w:val="22"/>
        </w:rPr>
      </w:pPr>
      <w:r w:rsidRPr="0043531F">
        <w:rPr>
          <w:rFonts w:cs="Arial"/>
          <w:sz w:val="22"/>
          <w:szCs w:val="22"/>
        </w:rPr>
        <w:t>The J</w:t>
      </w:r>
      <w:r w:rsidR="003C69AC" w:rsidRPr="0043531F">
        <w:rPr>
          <w:rFonts w:cs="Arial"/>
          <w:sz w:val="22"/>
          <w:szCs w:val="22"/>
        </w:rPr>
        <w:t xml:space="preserve">uly 22, 2014 meeting of the California Building Standards Commission </w:t>
      </w:r>
      <w:r w:rsidR="003A3FCB" w:rsidRPr="0043531F">
        <w:rPr>
          <w:rFonts w:cs="Arial"/>
          <w:sz w:val="22"/>
          <w:szCs w:val="22"/>
        </w:rPr>
        <w:t xml:space="preserve">(BSC) </w:t>
      </w:r>
      <w:r w:rsidR="003900FC" w:rsidRPr="0043531F">
        <w:rPr>
          <w:rFonts w:cs="Arial"/>
          <w:sz w:val="22"/>
          <w:szCs w:val="22"/>
        </w:rPr>
        <w:t xml:space="preserve">voted to correct this </w:t>
      </w:r>
      <w:bookmarkStart w:id="0" w:name="_GoBack"/>
      <w:bookmarkEnd w:id="0"/>
      <w:r w:rsidR="003900FC" w:rsidRPr="0043531F">
        <w:rPr>
          <w:rFonts w:cs="Arial"/>
          <w:sz w:val="22"/>
          <w:szCs w:val="22"/>
        </w:rPr>
        <w:t xml:space="preserve">omission </w:t>
      </w:r>
      <w:r w:rsidR="003C69AC" w:rsidRPr="0043531F">
        <w:rPr>
          <w:rFonts w:cs="Arial"/>
          <w:sz w:val="22"/>
          <w:szCs w:val="22"/>
        </w:rPr>
        <w:t>and reinstate this provision into the CBC as follow</w:t>
      </w:r>
      <w:r w:rsidR="009E4A12" w:rsidRPr="0043531F">
        <w:rPr>
          <w:rFonts w:cs="Arial"/>
          <w:sz w:val="22"/>
          <w:szCs w:val="22"/>
        </w:rPr>
        <w:t>s</w:t>
      </w:r>
      <w:r w:rsidR="003C69AC" w:rsidRPr="0043531F">
        <w:rPr>
          <w:rFonts w:cs="Arial"/>
          <w:sz w:val="22"/>
          <w:szCs w:val="22"/>
        </w:rPr>
        <w:t>:</w:t>
      </w:r>
    </w:p>
    <w:p w:rsidR="003C69AC" w:rsidRDefault="003C69AC" w:rsidP="006A1A3C">
      <w:pPr>
        <w:spacing w:line="240" w:lineRule="atLeast"/>
        <w:rPr>
          <w:rFonts w:cs="Arial"/>
        </w:rPr>
      </w:pPr>
    </w:p>
    <w:p w:rsidR="003C69AC" w:rsidRDefault="003C69AC" w:rsidP="003C69AC">
      <w:pPr>
        <w:pStyle w:val="Default"/>
        <w:rPr>
          <w:sz w:val="20"/>
          <w:szCs w:val="20"/>
        </w:rPr>
      </w:pPr>
      <w:r>
        <w:rPr>
          <w:b/>
          <w:bCs/>
          <w:sz w:val="20"/>
          <w:szCs w:val="20"/>
        </w:rPr>
        <w:t xml:space="preserve">ITEM 11B.25 </w:t>
      </w:r>
    </w:p>
    <w:p w:rsidR="003C69AC" w:rsidRDefault="003C69AC" w:rsidP="003C69AC">
      <w:pPr>
        <w:pStyle w:val="Default"/>
        <w:rPr>
          <w:sz w:val="20"/>
          <w:szCs w:val="20"/>
        </w:rPr>
      </w:pPr>
      <w:r>
        <w:rPr>
          <w:b/>
          <w:bCs/>
          <w:sz w:val="20"/>
          <w:szCs w:val="20"/>
        </w:rPr>
        <w:t xml:space="preserve">DIVISION 4: ACCESSIBLE ROUTES </w:t>
      </w:r>
    </w:p>
    <w:p w:rsidR="003C69AC" w:rsidRDefault="003C69AC" w:rsidP="003C69AC">
      <w:pPr>
        <w:pStyle w:val="Default"/>
        <w:rPr>
          <w:sz w:val="20"/>
          <w:szCs w:val="20"/>
        </w:rPr>
      </w:pPr>
      <w:r>
        <w:rPr>
          <w:b/>
          <w:bCs/>
          <w:i/>
          <w:iCs/>
          <w:sz w:val="20"/>
          <w:szCs w:val="20"/>
        </w:rPr>
        <w:t>11B-</w:t>
      </w:r>
      <w:r>
        <w:rPr>
          <w:b/>
          <w:bCs/>
          <w:sz w:val="20"/>
          <w:szCs w:val="20"/>
        </w:rPr>
        <w:t xml:space="preserve">403 Walking surfaces </w:t>
      </w:r>
    </w:p>
    <w:p w:rsidR="003C69AC" w:rsidRDefault="003C69AC" w:rsidP="003C69AC">
      <w:pPr>
        <w:pStyle w:val="Default"/>
        <w:rPr>
          <w:sz w:val="20"/>
          <w:szCs w:val="20"/>
        </w:rPr>
      </w:pPr>
      <w:r>
        <w:rPr>
          <w:b/>
          <w:bCs/>
          <w:i/>
          <w:iCs/>
          <w:sz w:val="20"/>
          <w:szCs w:val="20"/>
        </w:rPr>
        <w:t>11B-</w:t>
      </w:r>
      <w:r>
        <w:rPr>
          <w:b/>
          <w:bCs/>
          <w:sz w:val="20"/>
          <w:szCs w:val="20"/>
        </w:rPr>
        <w:t xml:space="preserve">403.5 Clearances. </w:t>
      </w:r>
      <w:r>
        <w:rPr>
          <w:sz w:val="20"/>
          <w:szCs w:val="20"/>
        </w:rPr>
        <w:t xml:space="preserve">… </w:t>
      </w:r>
    </w:p>
    <w:p w:rsidR="003C69AC" w:rsidRDefault="003C69AC" w:rsidP="003C69AC">
      <w:pPr>
        <w:pStyle w:val="Default"/>
        <w:rPr>
          <w:sz w:val="20"/>
          <w:szCs w:val="20"/>
        </w:rPr>
      </w:pPr>
      <w:r>
        <w:rPr>
          <w:b/>
          <w:bCs/>
          <w:i/>
          <w:iCs/>
          <w:sz w:val="20"/>
          <w:szCs w:val="20"/>
        </w:rPr>
        <w:t>11B-</w:t>
      </w:r>
      <w:r>
        <w:rPr>
          <w:b/>
          <w:bCs/>
          <w:sz w:val="20"/>
          <w:szCs w:val="20"/>
        </w:rPr>
        <w:t xml:space="preserve">403.5.1 Clear width. </w:t>
      </w:r>
      <w:r>
        <w:rPr>
          <w:sz w:val="20"/>
          <w:szCs w:val="20"/>
        </w:rPr>
        <w:t xml:space="preserve">Except as provided in </w:t>
      </w:r>
      <w:r>
        <w:rPr>
          <w:i/>
          <w:iCs/>
          <w:sz w:val="20"/>
          <w:szCs w:val="20"/>
        </w:rPr>
        <w:t>Sections 11B-</w:t>
      </w:r>
      <w:r>
        <w:rPr>
          <w:sz w:val="20"/>
          <w:szCs w:val="20"/>
        </w:rPr>
        <w:t xml:space="preserve">403.5.2 and </w:t>
      </w:r>
      <w:r>
        <w:rPr>
          <w:i/>
          <w:iCs/>
          <w:sz w:val="20"/>
          <w:szCs w:val="20"/>
        </w:rPr>
        <w:t>11B-</w:t>
      </w:r>
      <w:r>
        <w:rPr>
          <w:sz w:val="20"/>
          <w:szCs w:val="20"/>
        </w:rPr>
        <w:t>403.5.3, the clear width of walking surfaces shall be 36 inches (</w:t>
      </w:r>
      <w:r>
        <w:rPr>
          <w:i/>
          <w:iCs/>
          <w:sz w:val="20"/>
          <w:szCs w:val="20"/>
        </w:rPr>
        <w:t xml:space="preserve">914 </w:t>
      </w:r>
      <w:r>
        <w:rPr>
          <w:sz w:val="20"/>
          <w:szCs w:val="20"/>
        </w:rPr>
        <w:t xml:space="preserve">mm) minimum. </w:t>
      </w:r>
    </w:p>
    <w:p w:rsidR="003C69AC" w:rsidRPr="003900FC" w:rsidRDefault="003C69AC" w:rsidP="003C69AC">
      <w:pPr>
        <w:pStyle w:val="Default"/>
        <w:rPr>
          <w:sz w:val="16"/>
          <w:szCs w:val="16"/>
        </w:rPr>
      </w:pPr>
    </w:p>
    <w:p w:rsidR="003900FC" w:rsidRDefault="003C69AC" w:rsidP="003900FC">
      <w:pPr>
        <w:pStyle w:val="Default"/>
        <w:rPr>
          <w:b/>
          <w:bCs/>
          <w:i/>
          <w:iCs/>
          <w:sz w:val="20"/>
          <w:szCs w:val="20"/>
        </w:rPr>
      </w:pPr>
      <w:r>
        <w:rPr>
          <w:b/>
          <w:bCs/>
          <w:i/>
          <w:iCs/>
          <w:sz w:val="20"/>
          <w:szCs w:val="20"/>
        </w:rPr>
        <w:t xml:space="preserve">Exceptions: </w:t>
      </w:r>
    </w:p>
    <w:p w:rsidR="003900FC" w:rsidRPr="003900FC" w:rsidRDefault="003900FC" w:rsidP="003900FC">
      <w:pPr>
        <w:pStyle w:val="Default"/>
        <w:rPr>
          <w:b/>
          <w:bCs/>
          <w:i/>
          <w:iCs/>
          <w:sz w:val="16"/>
          <w:szCs w:val="16"/>
        </w:rPr>
      </w:pPr>
      <w:r>
        <w:rPr>
          <w:b/>
          <w:bCs/>
          <w:i/>
          <w:iCs/>
          <w:sz w:val="16"/>
          <w:szCs w:val="16"/>
        </w:rPr>
        <w:t>1……,2….,3….,4…..</w:t>
      </w:r>
    </w:p>
    <w:p w:rsidR="003C69AC" w:rsidRPr="003900FC" w:rsidRDefault="003C69AC" w:rsidP="003900FC">
      <w:pPr>
        <w:pStyle w:val="Default"/>
        <w:rPr>
          <w:sz w:val="20"/>
          <w:szCs w:val="20"/>
        </w:rPr>
      </w:pPr>
      <w:r>
        <w:rPr>
          <w:b/>
          <w:i/>
          <w:iCs/>
          <w:sz w:val="20"/>
          <w:szCs w:val="20"/>
        </w:rPr>
        <w:t xml:space="preserve">5. </w:t>
      </w:r>
      <w:r>
        <w:rPr>
          <w:i/>
          <w:iCs/>
          <w:sz w:val="20"/>
          <w:szCs w:val="20"/>
        </w:rPr>
        <w:t>The clear width for accessible routes to accessible toilet compartments shall be 44 inches (1118 mm) except for door-opening widths and door swings.</w:t>
      </w:r>
    </w:p>
    <w:p w:rsidR="00967138" w:rsidRDefault="00967138"/>
    <w:p w:rsidR="0043531F" w:rsidRDefault="0043531F"/>
    <w:p w:rsidR="0043531F" w:rsidRDefault="0043531F"/>
    <w:p w:rsidR="00400264" w:rsidRPr="0043531F" w:rsidRDefault="003C69AC">
      <w:pPr>
        <w:rPr>
          <w:sz w:val="22"/>
          <w:szCs w:val="22"/>
        </w:rPr>
      </w:pPr>
      <w:r w:rsidRPr="0043531F">
        <w:rPr>
          <w:sz w:val="22"/>
          <w:szCs w:val="22"/>
        </w:rPr>
        <w:t xml:space="preserve">The Division of the State Architect submitted the proposed amendment to the </w:t>
      </w:r>
      <w:r w:rsidR="003A3FCB" w:rsidRPr="0043531F">
        <w:rPr>
          <w:sz w:val="22"/>
          <w:szCs w:val="22"/>
        </w:rPr>
        <w:t>BSC</w:t>
      </w:r>
      <w:r w:rsidRPr="0043531F">
        <w:rPr>
          <w:sz w:val="22"/>
          <w:szCs w:val="22"/>
        </w:rPr>
        <w:t xml:space="preserve"> with the following rational:</w:t>
      </w:r>
    </w:p>
    <w:p w:rsidR="003C69AC" w:rsidRPr="0043531F" w:rsidRDefault="003C69AC">
      <w:pPr>
        <w:rPr>
          <w:sz w:val="22"/>
          <w:szCs w:val="22"/>
        </w:rPr>
      </w:pPr>
    </w:p>
    <w:p w:rsidR="003C69AC" w:rsidRPr="0043531F" w:rsidRDefault="003C69AC" w:rsidP="003C69AC">
      <w:pPr>
        <w:pStyle w:val="Default"/>
        <w:rPr>
          <w:color w:val="auto"/>
          <w:sz w:val="22"/>
          <w:szCs w:val="22"/>
        </w:rPr>
      </w:pPr>
      <w:r w:rsidRPr="0043531F">
        <w:rPr>
          <w:b/>
          <w:bCs/>
          <w:color w:val="auto"/>
          <w:sz w:val="22"/>
          <w:szCs w:val="22"/>
        </w:rPr>
        <w:t xml:space="preserve">11B-403.5.1 Clear width, Exception 5 </w:t>
      </w:r>
    </w:p>
    <w:p w:rsidR="003C69AC" w:rsidRPr="0043531F" w:rsidRDefault="003C69AC" w:rsidP="003C69AC">
      <w:pPr>
        <w:pStyle w:val="Default"/>
        <w:rPr>
          <w:color w:val="auto"/>
          <w:sz w:val="22"/>
          <w:szCs w:val="22"/>
        </w:rPr>
      </w:pPr>
      <w:r w:rsidRPr="0043531F">
        <w:rPr>
          <w:b/>
          <w:bCs/>
          <w:color w:val="auto"/>
          <w:sz w:val="22"/>
          <w:szCs w:val="22"/>
        </w:rPr>
        <w:t xml:space="preserve">REASON: </w:t>
      </w:r>
      <w:r w:rsidRPr="0043531F">
        <w:rPr>
          <w:color w:val="auto"/>
          <w:sz w:val="22"/>
          <w:szCs w:val="22"/>
        </w:rPr>
        <w:t xml:space="preserve">DSA-AC is proposing an amendment to carry forward and incorporate an accessibility provision of the 2010 California Building Code which was inadvertently omitted in the development of the 2013 California Building Code. Section 1115B.3.1, Item 4.4, of the 2010 California Building Code required clear, unobstructed access of not less than 44 inches to toilet compartments designed for use by persons with disabilities. The 2010 California Building Code language is being revised for consistency with model code format and terminology. </w:t>
      </w:r>
    </w:p>
    <w:p w:rsidR="00400264" w:rsidRPr="0043531F" w:rsidRDefault="00400264">
      <w:pPr>
        <w:rPr>
          <w:sz w:val="22"/>
          <w:szCs w:val="22"/>
        </w:rPr>
      </w:pPr>
    </w:p>
    <w:p w:rsidR="00400264" w:rsidRPr="0043531F" w:rsidRDefault="00EC4A6A">
      <w:pPr>
        <w:rPr>
          <w:sz w:val="22"/>
          <w:szCs w:val="22"/>
        </w:rPr>
      </w:pPr>
      <w:r w:rsidRPr="0043531F">
        <w:rPr>
          <w:sz w:val="22"/>
          <w:szCs w:val="22"/>
        </w:rPr>
        <w:t>The</w:t>
      </w:r>
      <w:r w:rsidR="00DD0A5D" w:rsidRPr="0043531F">
        <w:rPr>
          <w:sz w:val="22"/>
          <w:szCs w:val="22"/>
        </w:rPr>
        <w:t xml:space="preserve"> amendment was approved at the </w:t>
      </w:r>
      <w:r w:rsidRPr="0043531F">
        <w:rPr>
          <w:sz w:val="22"/>
          <w:szCs w:val="22"/>
        </w:rPr>
        <w:t>July 22, 2014 meeting and will be published in the July 1, 2015 Interim code cycle amendments.</w:t>
      </w:r>
    </w:p>
    <w:p w:rsidR="00EC4A6A" w:rsidRPr="0043531F" w:rsidRDefault="00EC4A6A">
      <w:pPr>
        <w:rPr>
          <w:sz w:val="22"/>
          <w:szCs w:val="22"/>
        </w:rPr>
      </w:pPr>
    </w:p>
    <w:p w:rsidR="00EC4A6A" w:rsidRPr="0043531F" w:rsidRDefault="00EC4A6A">
      <w:pPr>
        <w:rPr>
          <w:sz w:val="22"/>
          <w:szCs w:val="22"/>
        </w:rPr>
      </w:pPr>
      <w:r w:rsidRPr="0043531F">
        <w:rPr>
          <w:sz w:val="22"/>
          <w:szCs w:val="22"/>
        </w:rPr>
        <w:t xml:space="preserve">Regardless of current status, it is clear that this </w:t>
      </w:r>
      <w:r w:rsidR="005967B9" w:rsidRPr="0043531F">
        <w:rPr>
          <w:sz w:val="22"/>
          <w:szCs w:val="22"/>
        </w:rPr>
        <w:t xml:space="preserve">minimum </w:t>
      </w:r>
      <w:r w:rsidR="00695D07" w:rsidRPr="0043531F">
        <w:rPr>
          <w:sz w:val="22"/>
          <w:szCs w:val="22"/>
        </w:rPr>
        <w:t xml:space="preserve">clearance </w:t>
      </w:r>
      <w:r w:rsidRPr="0043531F">
        <w:rPr>
          <w:sz w:val="22"/>
          <w:szCs w:val="22"/>
        </w:rPr>
        <w:t>should be included in all plans submitted under the current provision as it is clearly the intent of</w:t>
      </w:r>
      <w:r w:rsidR="00695D07" w:rsidRPr="0043531F">
        <w:rPr>
          <w:sz w:val="22"/>
          <w:szCs w:val="22"/>
        </w:rPr>
        <w:t xml:space="preserve"> the code and </w:t>
      </w:r>
      <w:r w:rsidR="005967B9" w:rsidRPr="0043531F">
        <w:rPr>
          <w:sz w:val="22"/>
          <w:szCs w:val="22"/>
        </w:rPr>
        <w:t>may lead to unnecessary corrective expenditures in</w:t>
      </w:r>
      <w:r w:rsidR="00695D07" w:rsidRPr="0043531F">
        <w:rPr>
          <w:sz w:val="22"/>
          <w:szCs w:val="22"/>
        </w:rPr>
        <w:t xml:space="preserve"> fu</w:t>
      </w:r>
      <w:r w:rsidR="005967B9" w:rsidRPr="0043531F">
        <w:rPr>
          <w:sz w:val="22"/>
          <w:szCs w:val="22"/>
        </w:rPr>
        <w:t>ture</w:t>
      </w:r>
      <w:r w:rsidR="00695D07" w:rsidRPr="0043531F">
        <w:rPr>
          <w:sz w:val="22"/>
          <w:szCs w:val="22"/>
        </w:rPr>
        <w:t xml:space="preserve"> tenant improvement.</w:t>
      </w:r>
    </w:p>
    <w:p w:rsidR="00400264" w:rsidRPr="0043531F" w:rsidRDefault="00400264">
      <w:pPr>
        <w:rPr>
          <w:sz w:val="22"/>
          <w:szCs w:val="22"/>
        </w:rPr>
      </w:pPr>
    </w:p>
    <w:p w:rsidR="00400264" w:rsidRPr="0043531F" w:rsidRDefault="00400264">
      <w:pPr>
        <w:rPr>
          <w:sz w:val="22"/>
          <w:szCs w:val="22"/>
        </w:rPr>
      </w:pPr>
    </w:p>
    <w:p w:rsidR="00180F0F" w:rsidRPr="0043531F" w:rsidRDefault="00180F0F" w:rsidP="00180F0F">
      <w:pPr>
        <w:tabs>
          <w:tab w:val="left" w:pos="2340"/>
        </w:tabs>
        <w:ind w:left="2160" w:hanging="2160"/>
        <w:rPr>
          <w:rFonts w:cs="Arial"/>
          <w:b/>
          <w:sz w:val="22"/>
          <w:szCs w:val="22"/>
        </w:rPr>
      </w:pPr>
    </w:p>
    <w:p w:rsidR="00180F0F" w:rsidRPr="0043531F" w:rsidRDefault="00180F0F" w:rsidP="00180F0F">
      <w:pPr>
        <w:tabs>
          <w:tab w:val="left" w:pos="2340"/>
        </w:tabs>
        <w:ind w:left="2160" w:hanging="2160"/>
        <w:rPr>
          <w:rFonts w:cs="Arial"/>
          <w:b/>
          <w:sz w:val="22"/>
          <w:szCs w:val="22"/>
        </w:rPr>
      </w:pPr>
    </w:p>
    <w:p w:rsidR="00180F0F" w:rsidRPr="0043531F" w:rsidRDefault="00180F0F" w:rsidP="00180F0F">
      <w:pPr>
        <w:tabs>
          <w:tab w:val="left" w:pos="2340"/>
          <w:tab w:val="left" w:pos="2520"/>
        </w:tabs>
        <w:ind w:left="2520" w:hanging="2520"/>
        <w:rPr>
          <w:rFonts w:cs="Arial"/>
          <w:b/>
          <w:sz w:val="22"/>
          <w:szCs w:val="22"/>
        </w:rPr>
      </w:pPr>
    </w:p>
    <w:p w:rsidR="00180F0F" w:rsidRPr="0043531F" w:rsidRDefault="00180F0F" w:rsidP="00180F0F">
      <w:pPr>
        <w:spacing w:after="120"/>
        <w:ind w:right="43"/>
        <w:rPr>
          <w:rFonts w:cs="Arial"/>
          <w:color w:val="000000" w:themeColor="text1"/>
          <w:sz w:val="22"/>
          <w:szCs w:val="22"/>
        </w:rPr>
      </w:pPr>
      <w:r w:rsidRPr="0043531F">
        <w:rPr>
          <w:rFonts w:cs="Arial"/>
          <w:sz w:val="22"/>
          <w:szCs w:val="22"/>
        </w:rPr>
        <w:t xml:space="preserve"> </w:t>
      </w:r>
      <w:r w:rsidRPr="0043531F">
        <w:rPr>
          <w:rFonts w:cs="Arial"/>
          <w:color w:val="000000" w:themeColor="text1"/>
          <w:sz w:val="22"/>
          <w:szCs w:val="22"/>
        </w:rPr>
        <w:t>_____________________________________________________</w:t>
      </w:r>
    </w:p>
    <w:p w:rsidR="00180F0F" w:rsidRPr="0043531F" w:rsidRDefault="00180F0F" w:rsidP="00180F0F">
      <w:pPr>
        <w:ind w:right="43"/>
        <w:rPr>
          <w:rFonts w:cs="Arial"/>
          <w:color w:val="000000" w:themeColor="text1"/>
          <w:sz w:val="22"/>
          <w:szCs w:val="22"/>
        </w:rPr>
      </w:pPr>
      <w:r w:rsidRPr="0043531F">
        <w:rPr>
          <w:rFonts w:cs="Arial"/>
          <w:color w:val="000000" w:themeColor="text1"/>
          <w:sz w:val="22"/>
          <w:szCs w:val="22"/>
        </w:rPr>
        <w:t>Tom C. Hui, S.E., C.B.O.</w:t>
      </w:r>
      <w:r w:rsidRPr="0043531F">
        <w:rPr>
          <w:rFonts w:cs="Arial"/>
          <w:color w:val="000000" w:themeColor="text1"/>
          <w:sz w:val="22"/>
          <w:szCs w:val="22"/>
        </w:rPr>
        <w:tab/>
        <w:t xml:space="preserve">                                  Date</w:t>
      </w:r>
    </w:p>
    <w:p w:rsidR="00180F0F" w:rsidRPr="0043531F" w:rsidRDefault="00180F0F" w:rsidP="00180F0F">
      <w:pPr>
        <w:ind w:right="43"/>
        <w:rPr>
          <w:rFonts w:cs="Arial"/>
          <w:color w:val="000000" w:themeColor="text1"/>
          <w:sz w:val="22"/>
          <w:szCs w:val="22"/>
        </w:rPr>
      </w:pPr>
      <w:r w:rsidRPr="0043531F">
        <w:rPr>
          <w:rFonts w:cs="Arial"/>
          <w:color w:val="000000" w:themeColor="text1"/>
          <w:sz w:val="22"/>
          <w:szCs w:val="22"/>
        </w:rPr>
        <w:t>Director</w:t>
      </w:r>
    </w:p>
    <w:p w:rsidR="00180F0F" w:rsidRPr="0043531F" w:rsidRDefault="00180F0F" w:rsidP="00180F0F">
      <w:pPr>
        <w:spacing w:after="240" w:line="480" w:lineRule="auto"/>
        <w:ind w:right="43"/>
        <w:rPr>
          <w:rFonts w:cs="Arial"/>
          <w:color w:val="000000" w:themeColor="text1"/>
          <w:sz w:val="22"/>
          <w:szCs w:val="22"/>
        </w:rPr>
      </w:pPr>
      <w:r w:rsidRPr="0043531F">
        <w:rPr>
          <w:rFonts w:cs="Arial"/>
          <w:color w:val="000000" w:themeColor="text1"/>
          <w:sz w:val="22"/>
          <w:szCs w:val="22"/>
        </w:rPr>
        <w:t>Department of Building Inspection</w:t>
      </w:r>
    </w:p>
    <w:p w:rsidR="00180F0F" w:rsidRPr="00947980" w:rsidRDefault="001D39EC" w:rsidP="00180F0F">
      <w:pPr>
        <w:tabs>
          <w:tab w:val="right" w:pos="0"/>
          <w:tab w:val="right" w:pos="1800"/>
        </w:tabs>
        <w:rPr>
          <w:rFonts w:cs="Arial"/>
          <w:sz w:val="22"/>
          <w:szCs w:val="22"/>
        </w:rPr>
      </w:pPr>
      <w:r>
        <w:rPr>
          <w:rFonts w:cs="Arial"/>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367665</wp:posOffset>
                </wp:positionV>
                <wp:extent cx="5796280" cy="393065"/>
                <wp:effectExtent l="8890" t="6350" r="508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93065"/>
                        </a:xfrm>
                        <a:prstGeom prst="rect">
                          <a:avLst/>
                        </a:prstGeom>
                        <a:solidFill>
                          <a:srgbClr val="FFFFFF"/>
                        </a:solidFill>
                        <a:ln w="9525">
                          <a:solidFill>
                            <a:srgbClr val="000000"/>
                          </a:solidFill>
                          <a:miter lim="800000"/>
                          <a:headEnd/>
                          <a:tailEnd/>
                        </a:ln>
                      </wps:spPr>
                      <wps:txbx>
                        <w:txbxContent>
                          <w:p w:rsidR="00180F0F" w:rsidRPr="004C2AB4" w:rsidRDefault="00180F0F" w:rsidP="00180F0F">
                            <w:pPr>
                              <w:rPr>
                                <w:rFonts w:cs="Arial"/>
                                <w:sz w:val="20"/>
                                <w:szCs w:val="20"/>
                              </w:rPr>
                            </w:pPr>
                            <w:r w:rsidRPr="004C2AB4">
                              <w:rPr>
                                <w:rFonts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pt;margin-top:28.95pt;width:456.4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">
                <v:textbox style="mso-fit-shape-to-text:t">
                  <w:txbxContent>
                    <w:p w:rsidR="00180F0F" w:rsidRPr="004C2AB4" w:rsidRDefault="00180F0F" w:rsidP="00180F0F">
                      <w:pPr>
                        <w:rPr>
                          <w:rFonts w:cs="Arial"/>
                          <w:sz w:val="20"/>
                          <w:szCs w:val="20"/>
                        </w:rPr>
                      </w:pPr>
                      <w:r w:rsidRPr="004C2AB4">
                        <w:rPr>
                          <w:rFonts w:cs="Arial"/>
                          <w:sz w:val="20"/>
                          <w:szCs w:val="20"/>
                        </w:rPr>
                        <w:t>This Information Sheet is subject to modification at any time. For the most current version, visit our website at http://www.sfdbi.org</w:t>
                      </w:r>
                    </w:p>
                  </w:txbxContent>
                </v:textbox>
              </v:shape>
            </w:pict>
          </mc:Fallback>
        </mc:AlternateContent>
      </w:r>
    </w:p>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p w:rsidR="00400264" w:rsidRDefault="00400264"/>
    <w:sectPr w:rsidR="00400264" w:rsidSect="00DA1377">
      <w:headerReference w:type="even" r:id="rId7"/>
      <w:headerReference w:type="default" r:id="rId8"/>
      <w:footerReference w:type="even" r:id="rId9"/>
      <w:footerReference w:type="default" r:id="rId10"/>
      <w:pgSz w:w="12240" w:h="15840"/>
      <w:pgMar w:top="450" w:right="720" w:bottom="1440" w:left="1080" w:header="180" w:footer="3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6A" w:rsidRDefault="00EC4A6A">
      <w:r>
        <w:separator/>
      </w:r>
    </w:p>
  </w:endnote>
  <w:endnote w:type="continuationSeparator" w:id="0">
    <w:p w:rsidR="00EC4A6A" w:rsidRDefault="00EC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1F" w:rsidRDefault="0043531F" w:rsidP="0043531F">
    <w:pPr>
      <w:pStyle w:val="Footer"/>
      <w:jc w:val="center"/>
      <w:rPr>
        <w:b/>
        <w:sz w:val="22"/>
        <w:szCs w:val="22"/>
      </w:rPr>
    </w:pPr>
    <w:r w:rsidRPr="0043531F">
      <w:rPr>
        <w:b/>
        <w:sz w:val="22"/>
        <w:szCs w:val="22"/>
      </w:rPr>
      <w:t>Page 2 of 2</w:t>
    </w:r>
  </w:p>
  <w:p w:rsidR="0043531F" w:rsidRPr="00586515" w:rsidRDefault="0043531F" w:rsidP="0043531F">
    <w:pPr>
      <w:pStyle w:val="Footer"/>
      <w:jc w:val="center"/>
      <w:rPr>
        <w:b/>
        <w:bCs w:val="0"/>
      </w:rPr>
    </w:pPr>
    <w:r>
      <w:rPr>
        <w:b/>
        <w:bCs w:val="0"/>
      </w:rPr>
      <w:t>Technical Services Division</w:t>
    </w:r>
  </w:p>
  <w:p w:rsidR="0043531F" w:rsidRDefault="0043531F" w:rsidP="0043531F">
    <w:pPr>
      <w:pStyle w:val="Footer"/>
      <w:jc w:val="center"/>
      <w:rPr>
        <w:b/>
        <w:bCs w:val="0"/>
        <w:sz w:val="20"/>
      </w:rPr>
    </w:pPr>
    <w:smartTag w:uri="urn:schemas-microsoft-com:office:smarttags" w:element="Street">
      <w:smartTag w:uri="urn:schemas-microsoft-com:office:smarttags" w:element="address">
        <w:r>
          <w:rPr>
            <w:b/>
            <w:bCs w:val="0"/>
            <w:sz w:val="20"/>
          </w:rPr>
          <w:t>1660 Mission Street</w:t>
        </w:r>
      </w:smartTag>
    </w:smartTag>
    <w:r>
      <w:rPr>
        <w:b/>
        <w:bCs w:val="0"/>
        <w:sz w:val="20"/>
      </w:rPr>
      <w:t xml:space="preserve">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State">
        <w:r>
          <w:rPr>
            <w:b/>
            <w:bCs w:val="0"/>
            <w:sz w:val="20"/>
          </w:rPr>
          <w:t>CA</w:t>
        </w:r>
      </w:smartTag>
      <w:r>
        <w:rPr>
          <w:b/>
          <w:bCs w:val="0"/>
          <w:sz w:val="20"/>
        </w:rPr>
        <w:t xml:space="preserve"> </w:t>
      </w:r>
      <w:smartTag w:uri="urn:schemas-microsoft-com:office:smarttags" w:element="PostalCode">
        <w:r>
          <w:rPr>
            <w:b/>
            <w:bCs w:val="0"/>
            <w:sz w:val="20"/>
          </w:rPr>
          <w:t>94103</w:t>
        </w:r>
      </w:smartTag>
    </w:smartTag>
  </w:p>
  <w:p w:rsidR="0043531F" w:rsidRPr="0043531F" w:rsidRDefault="0043531F" w:rsidP="0043531F">
    <w:pPr>
      <w:pStyle w:val="Footer"/>
      <w:jc w:val="center"/>
    </w:pPr>
    <w:r>
      <w:rPr>
        <w:b/>
        <w:bCs w:val="0"/>
        <w:sz w:val="20"/>
      </w:rPr>
      <w:t>Office (415) 558-6205 – FAX (415) 558-6401 – www.sfdbi.org</w:t>
    </w:r>
  </w:p>
  <w:p w:rsidR="0043531F" w:rsidRPr="0043531F" w:rsidRDefault="0043531F" w:rsidP="0043531F">
    <w:pPr>
      <w:pStyle w:val="Footer"/>
      <w:jc w:val="center"/>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A6A" w:rsidRDefault="0043531F">
    <w:pPr>
      <w:pStyle w:val="Footer"/>
      <w:jc w:val="center"/>
      <w:rPr>
        <w:b/>
        <w:bCs w:val="0"/>
        <w:sz w:val="20"/>
      </w:rPr>
    </w:pPr>
    <w:r>
      <w:rPr>
        <w:b/>
        <w:bCs w:val="0"/>
        <w:sz w:val="20"/>
      </w:rPr>
      <w:t>Page 1 of 2</w:t>
    </w:r>
  </w:p>
  <w:p w:rsidR="00EC4A6A" w:rsidRPr="00586515" w:rsidRDefault="00EC4A6A">
    <w:pPr>
      <w:pStyle w:val="Footer"/>
      <w:jc w:val="center"/>
      <w:rPr>
        <w:b/>
        <w:bCs w:val="0"/>
      </w:rPr>
    </w:pPr>
    <w:r>
      <w:rPr>
        <w:b/>
        <w:bCs w:val="0"/>
      </w:rPr>
      <w:t>Technical Services Division</w:t>
    </w:r>
  </w:p>
  <w:p w:rsidR="00EC4A6A" w:rsidRDefault="00EC4A6A">
    <w:pPr>
      <w:pStyle w:val="Footer"/>
      <w:jc w:val="center"/>
      <w:rPr>
        <w:b/>
        <w:bCs w:val="0"/>
        <w:sz w:val="20"/>
      </w:rPr>
    </w:pPr>
    <w:smartTag w:uri="urn:schemas-microsoft-com:office:smarttags" w:element="Street">
      <w:smartTag w:uri="urn:schemas-microsoft-com:office:smarttags" w:element="address">
        <w:r>
          <w:rPr>
            <w:b/>
            <w:bCs w:val="0"/>
            <w:sz w:val="20"/>
          </w:rPr>
          <w:t>1660 Mission Street</w:t>
        </w:r>
      </w:smartTag>
    </w:smartTag>
    <w:r>
      <w:rPr>
        <w:b/>
        <w:bCs w:val="0"/>
        <w:sz w:val="20"/>
      </w:rPr>
      <w:t xml:space="preserve"> – </w:t>
    </w:r>
    <w:smartTag w:uri="urn:schemas-microsoft-com:office:smarttags" w:element="place">
      <w:smartTag w:uri="urn:schemas-microsoft-com:office:smarttags" w:element="City">
        <w:r>
          <w:rPr>
            <w:b/>
            <w:bCs w:val="0"/>
            <w:sz w:val="20"/>
          </w:rPr>
          <w:t>San Francisco</w:t>
        </w:r>
      </w:smartTag>
      <w:r>
        <w:rPr>
          <w:b/>
          <w:bCs w:val="0"/>
          <w:sz w:val="20"/>
        </w:rPr>
        <w:t xml:space="preserve"> </w:t>
      </w:r>
      <w:smartTag w:uri="urn:schemas-microsoft-com:office:smarttags" w:element="State">
        <w:r>
          <w:rPr>
            <w:b/>
            <w:bCs w:val="0"/>
            <w:sz w:val="20"/>
          </w:rPr>
          <w:t>CA</w:t>
        </w:r>
      </w:smartTag>
      <w:r>
        <w:rPr>
          <w:b/>
          <w:bCs w:val="0"/>
          <w:sz w:val="20"/>
        </w:rPr>
        <w:t xml:space="preserve"> </w:t>
      </w:r>
      <w:smartTag w:uri="urn:schemas-microsoft-com:office:smarttags" w:element="PostalCode">
        <w:r>
          <w:rPr>
            <w:b/>
            <w:bCs w:val="0"/>
            <w:sz w:val="20"/>
          </w:rPr>
          <w:t>94103</w:t>
        </w:r>
      </w:smartTag>
    </w:smartTag>
  </w:p>
  <w:p w:rsidR="00EC4A6A" w:rsidRDefault="00EC4A6A" w:rsidP="001A65A0">
    <w:pPr>
      <w:pStyle w:val="Footer"/>
      <w:jc w:val="center"/>
    </w:pPr>
    <w:r>
      <w:rPr>
        <w:b/>
        <w:bCs w:val="0"/>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6A" w:rsidRDefault="00EC4A6A">
      <w:r>
        <w:separator/>
      </w:r>
    </w:p>
  </w:footnote>
  <w:footnote w:type="continuationSeparator" w:id="0">
    <w:p w:rsidR="00EC4A6A" w:rsidRDefault="00EC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1F" w:rsidRDefault="0043531F">
    <w:pPr>
      <w:pStyle w:val="Header"/>
    </w:pPr>
  </w:p>
  <w:p w:rsidR="0043531F" w:rsidRDefault="0043531F">
    <w:pPr>
      <w:pStyle w:val="Header"/>
      <w:rPr>
        <w:sz w:val="22"/>
        <w:szCs w:val="22"/>
      </w:rPr>
    </w:pPr>
    <w:r>
      <w:rPr>
        <w:sz w:val="22"/>
        <w:szCs w:val="22"/>
      </w:rPr>
      <w:t>INFORMATION SHEET</w:t>
    </w:r>
    <w:r>
      <w:rPr>
        <w:sz w:val="22"/>
        <w:szCs w:val="22"/>
      </w:rPr>
      <w:tab/>
    </w:r>
    <w:r>
      <w:rPr>
        <w:sz w:val="22"/>
        <w:szCs w:val="22"/>
      </w:rPr>
      <w:tab/>
    </w:r>
    <w:r>
      <w:rPr>
        <w:sz w:val="22"/>
        <w:szCs w:val="22"/>
      </w:rPr>
      <w:tab/>
    </w:r>
    <w:r>
      <w:rPr>
        <w:sz w:val="22"/>
        <w:szCs w:val="22"/>
      </w:rPr>
      <w:tab/>
      <w:t>DA-08</w:t>
    </w:r>
  </w:p>
  <w:p w:rsidR="0043531F" w:rsidRPr="0043531F" w:rsidRDefault="0043531F">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92"/>
      <w:gridCol w:w="2916"/>
      <w:gridCol w:w="4068"/>
    </w:tblGrid>
    <w:tr w:rsidR="00EC4A6A" w:rsidTr="00C1043D">
      <w:trPr>
        <w:trHeight w:val="1710"/>
        <w:jc w:val="center"/>
      </w:trPr>
      <w:tc>
        <w:tcPr>
          <w:tcW w:w="3492" w:type="dxa"/>
          <w:vAlign w:val="center"/>
          <w:hideMark/>
        </w:tcPr>
        <w:p w:rsidR="00EC4A6A" w:rsidRDefault="00EC4A6A">
          <w:pPr>
            <w:rPr>
              <w:b/>
              <w:sz w:val="20"/>
              <w:szCs w:val="20"/>
            </w:rPr>
          </w:pPr>
          <w:r>
            <w:rPr>
              <w:b/>
              <w:bCs w:val="0"/>
              <w:sz w:val="20"/>
              <w:szCs w:val="20"/>
            </w:rPr>
            <w:t>City and County of San Francisco</w:t>
          </w:r>
        </w:p>
        <w:p w:rsidR="00EC4A6A" w:rsidRDefault="00EC4A6A">
          <w:pPr>
            <w:rPr>
              <w:b/>
              <w:sz w:val="20"/>
              <w:szCs w:val="20"/>
            </w:rPr>
          </w:pPr>
          <w:r>
            <w:rPr>
              <w:b/>
              <w:bCs w:val="0"/>
              <w:sz w:val="20"/>
              <w:szCs w:val="20"/>
            </w:rPr>
            <w:t>Department of Building Inspection</w:t>
          </w:r>
        </w:p>
      </w:tc>
      <w:tc>
        <w:tcPr>
          <w:tcW w:w="2916" w:type="dxa"/>
          <w:hideMark/>
        </w:tcPr>
        <w:p w:rsidR="00EC4A6A" w:rsidRDefault="00EC4A6A">
          <w:pPr>
            <w:pStyle w:val="Header"/>
          </w:pPr>
          <w:r>
            <w:rPr>
              <w:noProof/>
            </w:rPr>
            <w:drawing>
              <wp:anchor distT="0" distB="0" distL="114300" distR="114300" simplePos="0" relativeHeight="251657728" behindDoc="0" locked="0" layoutInCell="1" allowOverlap="1">
                <wp:simplePos x="0" y="0"/>
                <wp:positionH relativeFrom="column">
                  <wp:posOffset>573405</wp:posOffset>
                </wp:positionH>
                <wp:positionV relativeFrom="paragraph">
                  <wp:posOffset>28575</wp:posOffset>
                </wp:positionV>
                <wp:extent cx="1066800" cy="1047750"/>
                <wp:effectExtent l="19050" t="0" r="0" b="0"/>
                <wp:wrapSquare wrapText="bothSides"/>
                <wp:docPr id="11" name="Picture 1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68" w:type="dxa"/>
          <w:vAlign w:val="center"/>
          <w:hideMark/>
        </w:tcPr>
        <w:p w:rsidR="00EC4A6A" w:rsidRDefault="00EC4A6A">
          <w:pPr>
            <w:pStyle w:val="Header"/>
            <w:jc w:val="right"/>
            <w:rPr>
              <w:b/>
              <w:sz w:val="20"/>
              <w:szCs w:val="20"/>
            </w:rPr>
          </w:pPr>
          <w:r>
            <w:rPr>
              <w:b/>
              <w:bCs w:val="0"/>
              <w:sz w:val="20"/>
              <w:szCs w:val="20"/>
            </w:rPr>
            <w:t>Edwin M. Lee, Mayor</w:t>
          </w:r>
        </w:p>
        <w:p w:rsidR="00EC4A6A" w:rsidRDefault="00EC4A6A">
          <w:pPr>
            <w:pStyle w:val="Header"/>
            <w:jc w:val="right"/>
          </w:pPr>
          <w:r>
            <w:rPr>
              <w:b/>
              <w:bCs w:val="0"/>
              <w:sz w:val="20"/>
              <w:szCs w:val="20"/>
            </w:rPr>
            <w:t>Tom C. Hui, S.E., C.B.O., Director</w:t>
          </w:r>
        </w:p>
      </w:tc>
    </w:tr>
  </w:tbl>
  <w:p w:rsidR="00EC4A6A" w:rsidRPr="00400264" w:rsidRDefault="00EC4A6A" w:rsidP="00400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054F"/>
    <w:multiLevelType w:val="hybridMultilevel"/>
    <w:tmpl w:val="9EE8BA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6GtEK5nIC654ofmQWEnfsrz5IBgoA7Edy2JOZW0mAcG60ckQ4HIPxYmiNdFzvCGorMlBeJiDFUDHhJVsaZ9Ag==" w:salt="T9L6vUGxh5YQvLmGFwYcWw=="/>
  <w:defaultTabStop w:val="720"/>
  <w:evenAndOddHeaders/>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67"/>
    <w:rsid w:val="000507FF"/>
    <w:rsid w:val="000530C2"/>
    <w:rsid w:val="000C5E2E"/>
    <w:rsid w:val="000D20F3"/>
    <w:rsid w:val="001034DD"/>
    <w:rsid w:val="00180F0F"/>
    <w:rsid w:val="00184885"/>
    <w:rsid w:val="001A65A0"/>
    <w:rsid w:val="001D39EC"/>
    <w:rsid w:val="001E47CB"/>
    <w:rsid w:val="002520E8"/>
    <w:rsid w:val="00284E22"/>
    <w:rsid w:val="00293C82"/>
    <w:rsid w:val="002C4D23"/>
    <w:rsid w:val="002D4F90"/>
    <w:rsid w:val="002D7409"/>
    <w:rsid w:val="002F388F"/>
    <w:rsid w:val="00300FF1"/>
    <w:rsid w:val="003900FC"/>
    <w:rsid w:val="003A3FCB"/>
    <w:rsid w:val="003C69AC"/>
    <w:rsid w:val="003E4814"/>
    <w:rsid w:val="00400264"/>
    <w:rsid w:val="0043531F"/>
    <w:rsid w:val="004525C6"/>
    <w:rsid w:val="00472FF5"/>
    <w:rsid w:val="00497624"/>
    <w:rsid w:val="004C63CB"/>
    <w:rsid w:val="00504295"/>
    <w:rsid w:val="005060F0"/>
    <w:rsid w:val="00535822"/>
    <w:rsid w:val="0056734D"/>
    <w:rsid w:val="0058375D"/>
    <w:rsid w:val="00586515"/>
    <w:rsid w:val="005967B9"/>
    <w:rsid w:val="005A6493"/>
    <w:rsid w:val="00644D7C"/>
    <w:rsid w:val="00650964"/>
    <w:rsid w:val="00695D07"/>
    <w:rsid w:val="006A1A3C"/>
    <w:rsid w:val="006A3E49"/>
    <w:rsid w:val="006B2967"/>
    <w:rsid w:val="006F4589"/>
    <w:rsid w:val="007064FF"/>
    <w:rsid w:val="00721F2F"/>
    <w:rsid w:val="00754776"/>
    <w:rsid w:val="00760A80"/>
    <w:rsid w:val="007B6A3A"/>
    <w:rsid w:val="007D0D9C"/>
    <w:rsid w:val="007E230F"/>
    <w:rsid w:val="008F0D74"/>
    <w:rsid w:val="0091592B"/>
    <w:rsid w:val="00967138"/>
    <w:rsid w:val="00977C24"/>
    <w:rsid w:val="009E4A12"/>
    <w:rsid w:val="00A01892"/>
    <w:rsid w:val="00A04562"/>
    <w:rsid w:val="00A466F1"/>
    <w:rsid w:val="00A51CAB"/>
    <w:rsid w:val="00B33AC6"/>
    <w:rsid w:val="00B3722B"/>
    <w:rsid w:val="00B84F83"/>
    <w:rsid w:val="00BC4C6C"/>
    <w:rsid w:val="00BE6E56"/>
    <w:rsid w:val="00C1043D"/>
    <w:rsid w:val="00C507A3"/>
    <w:rsid w:val="00C771AF"/>
    <w:rsid w:val="00D3032E"/>
    <w:rsid w:val="00D8403B"/>
    <w:rsid w:val="00DA1377"/>
    <w:rsid w:val="00DA23A9"/>
    <w:rsid w:val="00DA2E6B"/>
    <w:rsid w:val="00DC6928"/>
    <w:rsid w:val="00DC6F57"/>
    <w:rsid w:val="00DD0A5D"/>
    <w:rsid w:val="00DE52FC"/>
    <w:rsid w:val="00E86275"/>
    <w:rsid w:val="00EC40ED"/>
    <w:rsid w:val="00EC4A6A"/>
    <w:rsid w:val="00ED78A3"/>
    <w:rsid w:val="00EE0DC3"/>
    <w:rsid w:val="00F170B5"/>
    <w:rsid w:val="00F40ECB"/>
    <w:rsid w:val="00F65494"/>
    <w:rsid w:val="00F70603"/>
    <w:rsid w:val="00F801BF"/>
    <w:rsid w:val="00F83C88"/>
    <w:rsid w:val="00FC2FB3"/>
    <w:rsid w:val="00FD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5:docId w15:val="{EE13A8F6-6457-4BC0-89B2-677BD4E1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DD"/>
    <w:rPr>
      <w:rFonts w:ascii="Arial" w:hAnsi="Arial"/>
      <w:bCs/>
      <w:sz w:val="24"/>
      <w:szCs w:val="24"/>
    </w:rPr>
  </w:style>
  <w:style w:type="paragraph" w:styleId="Heading1">
    <w:name w:val="heading 1"/>
    <w:basedOn w:val="Normal"/>
    <w:next w:val="Normal"/>
    <w:qFormat/>
    <w:rsid w:val="001034DD"/>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4DD"/>
    <w:pPr>
      <w:tabs>
        <w:tab w:val="center" w:pos="4320"/>
        <w:tab w:val="right" w:pos="8640"/>
      </w:tabs>
    </w:pPr>
  </w:style>
  <w:style w:type="paragraph" w:styleId="Footer">
    <w:name w:val="footer"/>
    <w:basedOn w:val="Normal"/>
    <w:link w:val="FooterChar"/>
    <w:uiPriority w:val="99"/>
    <w:rsid w:val="001034DD"/>
    <w:pPr>
      <w:tabs>
        <w:tab w:val="center" w:pos="4320"/>
        <w:tab w:val="right" w:pos="8640"/>
      </w:tabs>
    </w:pPr>
  </w:style>
  <w:style w:type="character" w:customStyle="1" w:styleId="HeaderChar">
    <w:name w:val="Header Char"/>
    <w:basedOn w:val="DefaultParagraphFont"/>
    <w:link w:val="Header"/>
    <w:uiPriority w:val="99"/>
    <w:rsid w:val="00400264"/>
    <w:rPr>
      <w:rFonts w:ascii="Arial" w:hAnsi="Arial"/>
      <w:bCs/>
      <w:sz w:val="24"/>
      <w:szCs w:val="24"/>
    </w:rPr>
  </w:style>
  <w:style w:type="paragraph" w:styleId="Title">
    <w:name w:val="Title"/>
    <w:basedOn w:val="Normal"/>
    <w:link w:val="TitleChar"/>
    <w:qFormat/>
    <w:rsid w:val="00284E22"/>
    <w:pPr>
      <w:widowControl w:val="0"/>
      <w:autoSpaceDE w:val="0"/>
      <w:autoSpaceDN w:val="0"/>
      <w:adjustRightInd w:val="0"/>
      <w:jc w:val="center"/>
    </w:pPr>
    <w:rPr>
      <w:rFonts w:ascii="Times New Roman" w:eastAsiaTheme="minorEastAsia" w:hAnsi="Times New Roman"/>
      <w:b/>
      <w:szCs w:val="28"/>
    </w:rPr>
  </w:style>
  <w:style w:type="character" w:customStyle="1" w:styleId="TitleChar">
    <w:name w:val="Title Char"/>
    <w:basedOn w:val="DefaultParagraphFont"/>
    <w:link w:val="Title"/>
    <w:rsid w:val="00284E22"/>
    <w:rPr>
      <w:rFonts w:eastAsiaTheme="minorEastAsia"/>
      <w:b/>
      <w:bCs/>
      <w:sz w:val="24"/>
      <w:szCs w:val="28"/>
    </w:rPr>
  </w:style>
  <w:style w:type="paragraph" w:customStyle="1" w:styleId="Default">
    <w:name w:val="Default"/>
    <w:rsid w:val="003C69A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3531F"/>
    <w:rPr>
      <w:rFonts w:ascii="Arial" w:hAnsi="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1598">
      <w:bodyDiv w:val="1"/>
      <w:marLeft w:val="0"/>
      <w:marRight w:val="0"/>
      <w:marTop w:val="0"/>
      <w:marBottom w:val="0"/>
      <w:divBdr>
        <w:top w:val="none" w:sz="0" w:space="0" w:color="auto"/>
        <w:left w:val="none" w:sz="0" w:space="0" w:color="auto"/>
        <w:bottom w:val="none" w:sz="0" w:space="0" w:color="auto"/>
        <w:right w:val="none" w:sz="0" w:space="0" w:color="auto"/>
      </w:divBdr>
    </w:div>
    <w:div w:id="1089427837">
      <w:bodyDiv w:val="1"/>
      <w:marLeft w:val="0"/>
      <w:marRight w:val="0"/>
      <w:marTop w:val="0"/>
      <w:marBottom w:val="0"/>
      <w:divBdr>
        <w:top w:val="none" w:sz="0" w:space="0" w:color="auto"/>
        <w:left w:val="none" w:sz="0" w:space="0" w:color="auto"/>
        <w:bottom w:val="none" w:sz="0" w:space="0" w:color="auto"/>
        <w:right w:val="none" w:sz="0" w:space="0" w:color="auto"/>
      </w:divBdr>
    </w:div>
    <w:div w:id="1985355701">
      <w:bodyDiv w:val="1"/>
      <w:marLeft w:val="0"/>
      <w:marRight w:val="0"/>
      <w:marTop w:val="0"/>
      <w:marBottom w:val="0"/>
      <w:divBdr>
        <w:top w:val="none" w:sz="0" w:space="0" w:color="auto"/>
        <w:left w:val="none" w:sz="0" w:space="0" w:color="auto"/>
        <w:bottom w:val="none" w:sz="0" w:space="0" w:color="auto"/>
        <w:right w:val="none" w:sz="0" w:space="0" w:color="auto"/>
      </w:divBdr>
    </w:div>
    <w:div w:id="20319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2647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cjayin</dc:creator>
  <cp:lastModifiedBy>Corazon Ella</cp:lastModifiedBy>
  <cp:revision>4</cp:revision>
  <cp:lastPrinted>2014-11-04T22:16:00Z</cp:lastPrinted>
  <dcterms:created xsi:type="dcterms:W3CDTF">2016-07-14T18:01:00Z</dcterms:created>
  <dcterms:modified xsi:type="dcterms:W3CDTF">2016-07-14T18:14:00Z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612409686</vt:i4>
  </property>
</Properties>
</file>