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EA" w:rsidRDefault="00D624EA" w:rsidP="00F22FAD"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 w:rsidR="00CB6411" w:rsidRPr="00D84C37" w:rsidRDefault="00714505" w:rsidP="00F22FAD">
      <w:pPr>
        <w:pStyle w:val="Title"/>
        <w:rPr>
          <w:rFonts w:ascii="Arial" w:hAnsi="Arial" w:cs="Arial"/>
          <w:sz w:val="28"/>
          <w:szCs w:val="24"/>
        </w:rPr>
      </w:pPr>
      <w:r w:rsidRPr="00D84C37">
        <w:rPr>
          <w:rFonts w:ascii="Arial" w:hAnsi="Arial" w:cs="Arial"/>
          <w:sz w:val="28"/>
          <w:szCs w:val="24"/>
        </w:rPr>
        <w:t>INFORMATION SHEET</w:t>
      </w:r>
    </w:p>
    <w:p w:rsidR="007C48AD" w:rsidRPr="00CA0CEB" w:rsidRDefault="007C48AD" w:rsidP="00CB6411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16"/>
          <w:szCs w:val="16"/>
        </w:rPr>
      </w:pPr>
    </w:p>
    <w:p w:rsidR="00CB6411" w:rsidRPr="004B4CCB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4B4CCB" w:rsidRDefault="00691520" w:rsidP="00496914">
      <w:pPr>
        <w:tabs>
          <w:tab w:val="left" w:pos="2925"/>
        </w:tabs>
        <w:rPr>
          <w:rFonts w:ascii="Arial" w:hAnsi="Arial" w:cs="Arial"/>
          <w:b/>
          <w:bCs/>
        </w:rPr>
      </w:pPr>
      <w:r w:rsidRPr="004B4CCB">
        <w:rPr>
          <w:rFonts w:ascii="Arial" w:hAnsi="Arial" w:cs="Arial"/>
          <w:b/>
          <w:bCs/>
        </w:rPr>
        <w:t xml:space="preserve">NO.  </w:t>
      </w:r>
      <w:r w:rsidR="0095504A" w:rsidRPr="004B4CCB">
        <w:rPr>
          <w:rFonts w:ascii="Arial" w:hAnsi="Arial" w:cs="Arial"/>
          <w:b/>
          <w:bCs/>
        </w:rPr>
        <w:t>S-0</w:t>
      </w:r>
      <w:r w:rsidR="0095504A" w:rsidRPr="004B4CCB">
        <w:rPr>
          <w:rFonts w:ascii="Arial" w:hAnsi="Arial" w:cs="Arial"/>
          <w:b/>
          <w:bCs/>
          <w:lang w:eastAsia="zh-TW"/>
        </w:rPr>
        <w:t>5</w:t>
      </w:r>
      <w:r w:rsidR="00496914" w:rsidRPr="004B4CCB">
        <w:rPr>
          <w:rFonts w:ascii="Arial" w:hAnsi="Arial" w:cs="Arial"/>
          <w:b/>
          <w:bCs/>
        </w:rPr>
        <w:tab/>
      </w:r>
    </w:p>
    <w:p w:rsidR="00CB6411" w:rsidRPr="004B4CCB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D624EA" w:rsidRDefault="004B4CCB" w:rsidP="00814AFB">
      <w:pPr>
        <w:pStyle w:val="Header"/>
        <w:tabs>
          <w:tab w:val="clear" w:pos="4320"/>
          <w:tab w:val="clear" w:pos="864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  <w:lang w:eastAsia="zh-TW"/>
        </w:rPr>
      </w:pPr>
      <w:r w:rsidRPr="00D624EA">
        <w:rPr>
          <w:rFonts w:ascii="Arial" w:hAnsi="Arial" w:cs="Arial"/>
          <w:b/>
          <w:bCs/>
          <w:sz w:val="22"/>
          <w:szCs w:val="22"/>
        </w:rPr>
        <w:t>DATE</w:t>
      </w:r>
      <w:r w:rsidRPr="00D624EA">
        <w:rPr>
          <w:rFonts w:ascii="Arial" w:hAnsi="Arial" w:cs="Arial"/>
          <w:b/>
          <w:bCs/>
          <w:sz w:val="22"/>
          <w:szCs w:val="22"/>
        </w:rPr>
        <w:tab/>
        <w:t>:</w:t>
      </w:r>
      <w:r w:rsidR="00814AFB" w:rsidRPr="00D624EA">
        <w:rPr>
          <w:rFonts w:ascii="Arial" w:hAnsi="Arial" w:cs="Arial"/>
          <w:b/>
          <w:bCs/>
          <w:sz w:val="22"/>
          <w:szCs w:val="22"/>
        </w:rPr>
        <w:tab/>
      </w:r>
      <w:r w:rsidR="005F6E60">
        <w:rPr>
          <w:rFonts w:ascii="Arial" w:hAnsi="Arial" w:cs="Arial"/>
          <w:bCs/>
          <w:sz w:val="22"/>
          <w:szCs w:val="22"/>
        </w:rPr>
        <w:t>May 7</w:t>
      </w:r>
      <w:r w:rsidR="007B45C7">
        <w:rPr>
          <w:rFonts w:ascii="Arial" w:hAnsi="Arial" w:cs="Arial"/>
          <w:bCs/>
          <w:sz w:val="22"/>
          <w:szCs w:val="22"/>
        </w:rPr>
        <w:t>, 2019</w:t>
      </w:r>
    </w:p>
    <w:p w:rsidR="00CB6411" w:rsidRPr="00D624EA" w:rsidRDefault="00CB6411" w:rsidP="00814AFB">
      <w:pP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:rsidR="007E0426" w:rsidRPr="00D624EA" w:rsidRDefault="007E0426" w:rsidP="00814AFB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b/>
          <w:bCs/>
          <w:sz w:val="22"/>
          <w:szCs w:val="22"/>
        </w:rPr>
      </w:pPr>
      <w:r w:rsidRPr="00D624EA">
        <w:rPr>
          <w:rFonts w:ascii="Arial" w:hAnsi="Arial" w:cs="Arial"/>
          <w:b/>
          <w:bCs/>
          <w:sz w:val="22"/>
          <w:szCs w:val="22"/>
        </w:rPr>
        <w:t>CATEGORY</w:t>
      </w:r>
      <w:r w:rsidRPr="00D624EA">
        <w:rPr>
          <w:rFonts w:ascii="Arial" w:hAnsi="Arial" w:cs="Arial"/>
          <w:b/>
          <w:bCs/>
          <w:sz w:val="22"/>
          <w:szCs w:val="22"/>
        </w:rPr>
        <w:tab/>
        <w:t>:</w:t>
      </w:r>
      <w:r w:rsidRPr="00D624EA">
        <w:rPr>
          <w:rFonts w:ascii="Arial" w:hAnsi="Arial" w:cs="Arial"/>
          <w:b/>
          <w:bCs/>
          <w:sz w:val="22"/>
          <w:szCs w:val="22"/>
        </w:rPr>
        <w:tab/>
      </w:r>
      <w:r w:rsidRPr="00D624EA">
        <w:rPr>
          <w:rFonts w:ascii="Arial" w:hAnsi="Arial" w:cs="Arial"/>
          <w:bCs/>
          <w:sz w:val="22"/>
          <w:szCs w:val="22"/>
        </w:rPr>
        <w:t>Structural</w:t>
      </w:r>
    </w:p>
    <w:p w:rsidR="007E0426" w:rsidRPr="00D624EA" w:rsidRDefault="007E0426" w:rsidP="00814AFB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B6411" w:rsidRPr="00D624EA" w:rsidRDefault="00CB6411" w:rsidP="00814AFB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D624EA">
        <w:rPr>
          <w:rFonts w:ascii="Arial" w:hAnsi="Arial" w:cs="Arial"/>
          <w:b/>
          <w:bCs/>
          <w:sz w:val="22"/>
          <w:szCs w:val="22"/>
        </w:rPr>
        <w:t>SUBJECT</w:t>
      </w:r>
      <w:r w:rsidRPr="00D624EA">
        <w:rPr>
          <w:rFonts w:ascii="Arial" w:hAnsi="Arial" w:cs="Arial"/>
          <w:b/>
          <w:bCs/>
          <w:sz w:val="22"/>
          <w:szCs w:val="22"/>
        </w:rPr>
        <w:tab/>
        <w:t>:</w:t>
      </w:r>
      <w:r w:rsidRPr="00D624EA">
        <w:rPr>
          <w:rFonts w:ascii="Arial" w:hAnsi="Arial" w:cs="Arial"/>
          <w:b/>
          <w:bCs/>
          <w:sz w:val="22"/>
          <w:szCs w:val="22"/>
        </w:rPr>
        <w:tab/>
      </w:r>
      <w:r w:rsidR="00FC3816" w:rsidRPr="00D624EA">
        <w:rPr>
          <w:rFonts w:ascii="Arial" w:hAnsi="Arial" w:cs="Arial"/>
          <w:b/>
          <w:bCs/>
          <w:sz w:val="22"/>
          <w:szCs w:val="22"/>
        </w:rPr>
        <w:t xml:space="preserve"> </w:t>
      </w:r>
      <w:r w:rsidR="0095504A" w:rsidRPr="00D624EA">
        <w:rPr>
          <w:rFonts w:ascii="Arial" w:hAnsi="Arial" w:cs="Arial"/>
          <w:b/>
          <w:bCs/>
          <w:sz w:val="22"/>
          <w:szCs w:val="22"/>
          <w:lang w:eastAsia="zh-TW"/>
        </w:rPr>
        <w:t>Geotechnical Report</w:t>
      </w:r>
      <w:r w:rsidR="00FC3816" w:rsidRPr="00D624EA">
        <w:rPr>
          <w:rFonts w:ascii="Arial" w:hAnsi="Arial" w:cs="Arial"/>
          <w:b/>
          <w:bCs/>
          <w:sz w:val="22"/>
          <w:szCs w:val="22"/>
        </w:rPr>
        <w:t xml:space="preserve"> Requirements </w:t>
      </w:r>
    </w:p>
    <w:p w:rsidR="00CB6411" w:rsidRPr="00D624EA" w:rsidRDefault="00CB6411" w:rsidP="00814AFB">
      <w:pPr>
        <w:pBdr>
          <w:bottom w:val="single" w:sz="24" w:space="1" w:color="auto"/>
        </w:pBd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D624EA" w:rsidRDefault="00CB6411" w:rsidP="00814AFB">
      <w:pPr>
        <w:tabs>
          <w:tab w:val="left" w:pos="1800"/>
          <w:tab w:val="left" w:pos="2160"/>
          <w:tab w:val="left" w:pos="2610"/>
        </w:tabs>
        <w:rPr>
          <w:rFonts w:ascii="Arial" w:hAnsi="Arial" w:cs="Arial"/>
          <w:sz w:val="22"/>
          <w:szCs w:val="22"/>
        </w:rPr>
      </w:pPr>
    </w:p>
    <w:p w:rsidR="00714505" w:rsidRPr="00D624EA" w:rsidRDefault="00FC3816" w:rsidP="00D84C37">
      <w:pPr>
        <w:tabs>
          <w:tab w:val="left" w:pos="2340"/>
          <w:tab w:val="left" w:pos="2610"/>
        </w:tabs>
        <w:ind w:left="2610" w:hanging="2610"/>
        <w:jc w:val="both"/>
        <w:rPr>
          <w:rFonts w:ascii="Arial" w:hAnsi="Arial" w:cs="Arial"/>
          <w:bCs/>
          <w:sz w:val="22"/>
          <w:szCs w:val="22"/>
          <w:lang w:eastAsia="zh-TW"/>
        </w:rPr>
      </w:pPr>
      <w:r w:rsidRPr="00D624EA">
        <w:rPr>
          <w:rFonts w:ascii="Arial" w:hAnsi="Arial" w:cs="Arial"/>
          <w:b/>
          <w:bCs/>
          <w:sz w:val="22"/>
          <w:szCs w:val="22"/>
        </w:rPr>
        <w:t>PURPOSE</w:t>
      </w:r>
      <w:r w:rsidR="00714505" w:rsidRPr="00D624EA">
        <w:rPr>
          <w:rFonts w:ascii="Arial" w:hAnsi="Arial" w:cs="Arial"/>
          <w:b/>
          <w:bCs/>
          <w:sz w:val="22"/>
          <w:szCs w:val="22"/>
        </w:rPr>
        <w:tab/>
        <w:t>:</w:t>
      </w:r>
      <w:r w:rsidR="00714505" w:rsidRPr="00D624EA">
        <w:rPr>
          <w:rFonts w:ascii="Arial" w:hAnsi="Arial" w:cs="Arial"/>
          <w:b/>
          <w:bCs/>
          <w:sz w:val="22"/>
          <w:szCs w:val="22"/>
        </w:rPr>
        <w:tab/>
      </w:r>
      <w:r w:rsidRPr="00D624EA">
        <w:rPr>
          <w:rFonts w:ascii="Arial" w:hAnsi="Arial" w:cs="Arial"/>
          <w:bCs/>
          <w:sz w:val="22"/>
          <w:szCs w:val="22"/>
        </w:rPr>
        <w:t xml:space="preserve">The purpose of this Information Sheet is to establish </w:t>
      </w:r>
      <w:r w:rsidR="0095504A" w:rsidRPr="00D624EA">
        <w:rPr>
          <w:rFonts w:ascii="Arial" w:hAnsi="Arial" w:cs="Arial"/>
          <w:bCs/>
          <w:sz w:val="22"/>
          <w:szCs w:val="22"/>
          <w:lang w:eastAsia="zh-TW"/>
        </w:rPr>
        <w:t xml:space="preserve">the </w:t>
      </w:r>
      <w:r w:rsidR="00D624EA">
        <w:rPr>
          <w:rFonts w:ascii="Arial" w:hAnsi="Arial" w:cs="Arial"/>
          <w:bCs/>
          <w:sz w:val="22"/>
          <w:szCs w:val="22"/>
          <w:lang w:eastAsia="zh-TW"/>
        </w:rPr>
        <w:t xml:space="preserve">permit work scope </w:t>
      </w:r>
      <w:r w:rsidR="00D91583" w:rsidRPr="00D624EA">
        <w:rPr>
          <w:rFonts w:ascii="Arial" w:hAnsi="Arial" w:cs="Arial"/>
          <w:bCs/>
          <w:sz w:val="22"/>
          <w:szCs w:val="22"/>
          <w:lang w:eastAsia="zh-TW"/>
        </w:rPr>
        <w:t xml:space="preserve">which will require the </w:t>
      </w:r>
      <w:r w:rsidR="0095504A" w:rsidRPr="00D624EA">
        <w:rPr>
          <w:rFonts w:ascii="Arial" w:hAnsi="Arial" w:cs="Arial"/>
          <w:bCs/>
          <w:sz w:val="22"/>
          <w:szCs w:val="22"/>
          <w:lang w:eastAsia="zh-TW"/>
        </w:rPr>
        <w:t>submittal of</w:t>
      </w:r>
      <w:r w:rsidR="00D91583" w:rsidRPr="00D624EA">
        <w:rPr>
          <w:rFonts w:ascii="Arial" w:hAnsi="Arial" w:cs="Arial"/>
          <w:bCs/>
          <w:sz w:val="22"/>
          <w:szCs w:val="22"/>
          <w:lang w:eastAsia="zh-TW"/>
        </w:rPr>
        <w:t xml:space="preserve"> a</w:t>
      </w:r>
      <w:r w:rsidR="0095504A" w:rsidRPr="00D624EA">
        <w:rPr>
          <w:rFonts w:ascii="Arial" w:hAnsi="Arial" w:cs="Arial"/>
          <w:bCs/>
          <w:sz w:val="22"/>
          <w:szCs w:val="22"/>
          <w:lang w:eastAsia="zh-TW"/>
        </w:rPr>
        <w:t xml:space="preserve"> geotechnical report</w:t>
      </w:r>
      <w:r w:rsidR="00D91583" w:rsidRPr="00D624EA">
        <w:rPr>
          <w:rFonts w:ascii="Arial" w:hAnsi="Arial" w:cs="Arial"/>
          <w:bCs/>
          <w:sz w:val="22"/>
          <w:szCs w:val="22"/>
          <w:lang w:eastAsia="zh-TW"/>
        </w:rPr>
        <w:t>.</w:t>
      </w:r>
    </w:p>
    <w:p w:rsidR="00D35F6A" w:rsidRPr="00D624EA" w:rsidRDefault="00D35F6A" w:rsidP="00814AFB">
      <w:pPr>
        <w:tabs>
          <w:tab w:val="left" w:pos="2340"/>
          <w:tab w:val="left" w:pos="2610"/>
        </w:tabs>
        <w:ind w:left="2700" w:hanging="27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0426" w:rsidRPr="00D624EA" w:rsidRDefault="007E0426" w:rsidP="00814AFB">
      <w:pPr>
        <w:tabs>
          <w:tab w:val="left" w:pos="2340"/>
          <w:tab w:val="left" w:pos="2610"/>
        </w:tabs>
        <w:ind w:left="2700" w:hanging="2700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b/>
          <w:bCs/>
          <w:sz w:val="22"/>
          <w:szCs w:val="22"/>
        </w:rPr>
        <w:t>REFERENCE</w:t>
      </w:r>
      <w:r w:rsidR="009A60B2" w:rsidRPr="00D624EA">
        <w:rPr>
          <w:rFonts w:ascii="Arial" w:hAnsi="Arial" w:cs="Arial"/>
          <w:b/>
          <w:bCs/>
          <w:sz w:val="22"/>
          <w:szCs w:val="22"/>
        </w:rPr>
        <w:tab/>
      </w:r>
      <w:r w:rsidR="00CB6411" w:rsidRPr="00D624EA">
        <w:rPr>
          <w:rFonts w:ascii="Arial" w:hAnsi="Arial" w:cs="Arial"/>
          <w:b/>
          <w:bCs/>
          <w:sz w:val="22"/>
          <w:szCs w:val="22"/>
        </w:rPr>
        <w:t>:</w:t>
      </w:r>
      <w:r w:rsidR="00CB6411" w:rsidRPr="00D624EA">
        <w:rPr>
          <w:rFonts w:ascii="Arial" w:hAnsi="Arial" w:cs="Arial"/>
          <w:sz w:val="22"/>
          <w:szCs w:val="22"/>
        </w:rPr>
        <w:tab/>
      </w:r>
      <w:r w:rsidRPr="00D624EA">
        <w:rPr>
          <w:rFonts w:ascii="Arial" w:hAnsi="Arial" w:cs="Arial"/>
          <w:sz w:val="22"/>
          <w:szCs w:val="22"/>
        </w:rPr>
        <w:t>San Francisco Building Code</w:t>
      </w:r>
      <w:r w:rsidR="00814AFB" w:rsidRPr="00D624EA">
        <w:rPr>
          <w:rFonts w:ascii="Arial" w:hAnsi="Arial" w:cs="Arial"/>
          <w:sz w:val="22"/>
          <w:szCs w:val="22"/>
        </w:rPr>
        <w:t xml:space="preserve"> (SFBC)</w:t>
      </w:r>
    </w:p>
    <w:p w:rsidR="00907BD9" w:rsidRDefault="006B6B6D" w:rsidP="00015E85">
      <w:pPr>
        <w:tabs>
          <w:tab w:val="left" w:pos="2610"/>
        </w:tabs>
        <w:spacing w:before="120"/>
        <w:ind w:left="2970" w:hanging="2790"/>
        <w:jc w:val="both"/>
      </w:pPr>
      <w:r w:rsidRPr="00D624EA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814AFB" w:rsidRPr="00D624EA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814AFB" w:rsidRPr="00D624EA">
        <w:rPr>
          <w:rFonts w:ascii="Arial" w:hAnsi="Arial" w:cs="Arial"/>
          <w:b/>
          <w:bCs/>
          <w:sz w:val="22"/>
          <w:szCs w:val="22"/>
        </w:rPr>
        <w:tab/>
      </w:r>
      <w:r w:rsidRPr="00D624EA">
        <w:rPr>
          <w:rFonts w:ascii="Arial" w:hAnsi="Arial" w:cs="Arial"/>
          <w:bCs/>
          <w:sz w:val="22"/>
          <w:szCs w:val="22"/>
        </w:rPr>
        <w:t>State of California Department of Conservatio</w:t>
      </w:r>
      <w:r w:rsidR="00814AFB" w:rsidRPr="00D624EA">
        <w:rPr>
          <w:rFonts w:ascii="Arial" w:hAnsi="Arial" w:cs="Arial"/>
          <w:bCs/>
          <w:sz w:val="22"/>
          <w:szCs w:val="22"/>
        </w:rPr>
        <w:t xml:space="preserve">n Division of Mines and Geology </w:t>
      </w:r>
      <w:r w:rsidRPr="00D624EA">
        <w:rPr>
          <w:rFonts w:ascii="Arial" w:hAnsi="Arial" w:cs="Arial"/>
          <w:bCs/>
          <w:sz w:val="22"/>
          <w:szCs w:val="22"/>
        </w:rPr>
        <w:t xml:space="preserve">(CDMG) Seismic Hazard Zones Map for San Francisco, released </w:t>
      </w:r>
      <w:r w:rsidR="00814AFB" w:rsidRPr="00D624EA">
        <w:rPr>
          <w:rFonts w:ascii="Arial" w:hAnsi="Arial" w:cs="Arial"/>
          <w:bCs/>
          <w:sz w:val="22"/>
          <w:szCs w:val="22"/>
        </w:rPr>
        <w:t xml:space="preserve">            </w:t>
      </w:r>
      <w:r w:rsidRPr="00D624EA">
        <w:rPr>
          <w:rFonts w:ascii="Arial" w:hAnsi="Arial" w:cs="Arial"/>
          <w:bCs/>
          <w:sz w:val="22"/>
          <w:szCs w:val="22"/>
        </w:rPr>
        <w:t>November 17, 2000.</w:t>
      </w:r>
      <w:r w:rsidR="00907BD9" w:rsidRPr="00907BD9">
        <w:t xml:space="preserve"> </w:t>
      </w:r>
    </w:p>
    <w:p w:rsidR="00814AFB" w:rsidRDefault="00907BD9" w:rsidP="00015E85">
      <w:pPr>
        <w:tabs>
          <w:tab w:val="left" w:pos="2610"/>
        </w:tabs>
        <w:spacing w:before="120"/>
        <w:ind w:left="2970" w:hanging="2790"/>
        <w:jc w:val="both"/>
        <w:rPr>
          <w:rFonts w:ascii="Arial" w:hAnsi="Arial" w:cs="Arial"/>
          <w:sz w:val="22"/>
          <w:szCs w:val="22"/>
          <w:lang w:eastAsia="zh-TW"/>
        </w:rPr>
      </w:pPr>
      <w:r>
        <w:tab/>
      </w:r>
      <w:r w:rsidRPr="00907BD9">
        <w:rPr>
          <w:rFonts w:ascii="Arial" w:hAnsi="Arial" w:cs="Arial"/>
          <w:bCs/>
          <w:sz w:val="22"/>
          <w:szCs w:val="22"/>
        </w:rPr>
        <w:t>Information Sheet S-1</w:t>
      </w:r>
      <w:r>
        <w:rPr>
          <w:rFonts w:ascii="Arial" w:hAnsi="Arial" w:cs="Arial"/>
          <w:bCs/>
          <w:sz w:val="22"/>
          <w:szCs w:val="22"/>
        </w:rPr>
        <w:t>8</w:t>
      </w:r>
      <w:r w:rsidRPr="00907BD9">
        <w:rPr>
          <w:rFonts w:ascii="Arial" w:hAnsi="Arial" w:cs="Arial"/>
          <w:bCs/>
          <w:sz w:val="22"/>
          <w:szCs w:val="22"/>
        </w:rPr>
        <w:t>: Interim Guidelines and Procedures for Structural, Geotechnical, and Seismic Hazard Engineering Design Review for New Tall Buildings</w:t>
      </w:r>
    </w:p>
    <w:p w:rsidR="00D84C37" w:rsidRPr="00163E77" w:rsidRDefault="00D36C51" w:rsidP="00015E85">
      <w:pPr>
        <w:tabs>
          <w:tab w:val="left" w:pos="2610"/>
        </w:tabs>
        <w:spacing w:before="120"/>
        <w:ind w:left="2970" w:hanging="2790"/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ab/>
      </w:r>
      <w:r w:rsidR="00D84C37">
        <w:rPr>
          <w:rFonts w:ascii="Arial" w:hAnsi="Arial" w:cs="Arial"/>
          <w:sz w:val="22"/>
          <w:szCs w:val="22"/>
          <w:lang w:eastAsia="zh-TW"/>
        </w:rPr>
        <w:t xml:space="preserve">Information Sheet S-19: </w:t>
      </w:r>
      <w:r w:rsidRPr="00D36C51">
        <w:rPr>
          <w:rFonts w:ascii="Arial" w:hAnsi="Arial" w:cs="Arial"/>
          <w:sz w:val="22"/>
          <w:szCs w:val="22"/>
          <w:lang w:eastAsia="zh-TW"/>
        </w:rPr>
        <w:t>Projects subject to the Slope and Seismic Hazard Zone Protection Act</w:t>
      </w:r>
    </w:p>
    <w:p w:rsidR="00CB6411" w:rsidRPr="00D624EA" w:rsidRDefault="00814AFB" w:rsidP="00D84C37">
      <w:pPr>
        <w:tabs>
          <w:tab w:val="left" w:pos="2340"/>
          <w:tab w:val="left" w:pos="2610"/>
        </w:tabs>
        <w:ind w:left="2790" w:hanging="2610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ab/>
      </w:r>
      <w:r w:rsidRPr="00D624EA">
        <w:rPr>
          <w:rFonts w:ascii="Arial" w:hAnsi="Arial" w:cs="Arial"/>
          <w:sz w:val="22"/>
          <w:szCs w:val="22"/>
          <w:lang w:eastAsia="zh-TW"/>
        </w:rPr>
        <w:tab/>
      </w:r>
    </w:p>
    <w:p w:rsidR="00470E91" w:rsidRPr="00D624EA" w:rsidRDefault="00470E91" w:rsidP="004B4CCB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D624EA">
        <w:rPr>
          <w:rFonts w:ascii="Arial" w:hAnsi="Arial" w:cs="Arial"/>
          <w:b/>
          <w:sz w:val="22"/>
          <w:szCs w:val="22"/>
        </w:rPr>
        <w:t>DISCUSSION</w:t>
      </w:r>
      <w:r w:rsidR="00782694" w:rsidRPr="00D624EA">
        <w:rPr>
          <w:rFonts w:ascii="Arial" w:hAnsi="Arial" w:cs="Arial"/>
          <w:b/>
          <w:sz w:val="22"/>
          <w:szCs w:val="22"/>
        </w:rPr>
        <w:tab/>
      </w:r>
      <w:r w:rsidRPr="00D624EA">
        <w:rPr>
          <w:rFonts w:ascii="Arial" w:hAnsi="Arial" w:cs="Arial"/>
          <w:b/>
          <w:sz w:val="22"/>
          <w:szCs w:val="22"/>
        </w:rPr>
        <w:t>:</w:t>
      </w:r>
      <w:r w:rsidRPr="00D624EA">
        <w:rPr>
          <w:rFonts w:ascii="Arial" w:hAnsi="Arial" w:cs="Arial"/>
          <w:b/>
          <w:sz w:val="22"/>
          <w:szCs w:val="22"/>
        </w:rPr>
        <w:tab/>
      </w:r>
    </w:p>
    <w:p w:rsidR="00470E91" w:rsidRPr="00D624EA" w:rsidRDefault="00D91583" w:rsidP="00015E85">
      <w:pPr>
        <w:pStyle w:val="ListParagraph"/>
        <w:numPr>
          <w:ilvl w:val="0"/>
          <w:numId w:val="21"/>
        </w:numPr>
        <w:spacing w:before="36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D624EA">
        <w:rPr>
          <w:rFonts w:ascii="Arial" w:hAnsi="Arial" w:cs="Arial"/>
          <w:b/>
          <w:bCs/>
          <w:sz w:val="22"/>
          <w:szCs w:val="22"/>
          <w:lang w:eastAsia="zh-TW"/>
        </w:rPr>
        <w:t xml:space="preserve">Permit </w:t>
      </w:r>
      <w:r w:rsidR="007579C5" w:rsidRPr="00D624EA">
        <w:rPr>
          <w:rFonts w:ascii="Arial" w:eastAsia="PMingLiU" w:hAnsi="Arial" w:cs="Arial"/>
          <w:b/>
          <w:bCs/>
          <w:sz w:val="22"/>
          <w:szCs w:val="22"/>
          <w:lang w:eastAsia="zh-TW"/>
        </w:rPr>
        <w:t xml:space="preserve">requiring </w:t>
      </w:r>
      <w:r w:rsidR="00B55A26" w:rsidRPr="00D624EA">
        <w:rPr>
          <w:rFonts w:ascii="Arial" w:hAnsi="Arial" w:cs="Arial"/>
          <w:b/>
          <w:bCs/>
          <w:sz w:val="22"/>
          <w:szCs w:val="22"/>
          <w:lang w:eastAsia="zh-TW"/>
        </w:rPr>
        <w:t>geotechnical report</w:t>
      </w:r>
    </w:p>
    <w:p w:rsidR="00B55A26" w:rsidRPr="00D624EA" w:rsidRDefault="00B55A26" w:rsidP="00161DB9">
      <w:pPr>
        <w:widowControl/>
        <w:autoSpaceDE/>
        <w:autoSpaceDN/>
        <w:adjustRightInd/>
        <w:spacing w:before="240" w:after="120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The following </w:t>
      </w:r>
      <w:r w:rsidRPr="00D624EA">
        <w:rPr>
          <w:rFonts w:ascii="Arial" w:hAnsi="Arial" w:cs="Arial"/>
          <w:sz w:val="22"/>
          <w:szCs w:val="22"/>
          <w:lang w:eastAsia="zh-TW"/>
        </w:rPr>
        <w:t>permit application submittal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will require a geotechnical report:</w:t>
      </w:r>
    </w:p>
    <w:p w:rsidR="00B55A26" w:rsidRPr="00D624EA" w:rsidRDefault="00B55A26" w:rsidP="00161DB9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>New Building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AC76AD" w:rsidRPr="00D624EA">
        <w:rPr>
          <w:rFonts w:ascii="Arial" w:hAnsi="Arial" w:cs="Arial"/>
          <w:sz w:val="22"/>
          <w:szCs w:val="22"/>
          <w:lang w:eastAsia="zh-TW"/>
        </w:rPr>
        <w:t>(</w:t>
      </w:r>
      <w:r w:rsidR="00D91583" w:rsidRPr="00D624EA">
        <w:rPr>
          <w:rFonts w:ascii="Arial" w:hAnsi="Arial" w:cs="Arial"/>
          <w:sz w:val="22"/>
          <w:szCs w:val="22"/>
          <w:lang w:eastAsia="zh-TW"/>
        </w:rPr>
        <w:t>with the exception of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846821" w:rsidRPr="00D624EA">
        <w:rPr>
          <w:rFonts w:ascii="Arial" w:hAnsi="Arial" w:cs="Arial"/>
          <w:sz w:val="22"/>
          <w:szCs w:val="22"/>
          <w:lang w:eastAsia="zh-TW"/>
        </w:rPr>
        <w:t>one</w:t>
      </w:r>
      <w:r w:rsidR="00F66BFB">
        <w:rPr>
          <w:rFonts w:ascii="Arial" w:hAnsi="Arial" w:cs="Arial"/>
          <w:sz w:val="22"/>
          <w:szCs w:val="22"/>
          <w:lang w:eastAsia="zh-TW"/>
        </w:rPr>
        <w:t>-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>story storage or</w:t>
      </w:r>
      <w:r w:rsidR="00D91583" w:rsidRPr="00D624E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 xml:space="preserve">utility occupancy, </w:t>
      </w:r>
      <w:r w:rsidR="00487D0A" w:rsidRPr="00D624EA">
        <w:rPr>
          <w:rFonts w:ascii="Arial" w:hAnsi="Arial" w:cs="Arial"/>
          <w:sz w:val="22"/>
          <w:szCs w:val="22"/>
          <w:lang w:eastAsia="zh-TW"/>
        </w:rPr>
        <w:t xml:space="preserve">including </w:t>
      </w:r>
      <w:r w:rsidR="00846821" w:rsidRPr="00D624EA">
        <w:rPr>
          <w:rFonts w:ascii="Arial" w:hAnsi="Arial" w:cs="Arial"/>
          <w:sz w:val="22"/>
          <w:szCs w:val="22"/>
          <w:lang w:eastAsia="zh-TW"/>
        </w:rPr>
        <w:t>storage</w:t>
      </w:r>
      <w:r w:rsidR="00487D0A" w:rsidRPr="00D624EA">
        <w:rPr>
          <w:rFonts w:ascii="Arial" w:hAnsi="Arial" w:cs="Arial"/>
          <w:sz w:val="22"/>
          <w:szCs w:val="22"/>
          <w:lang w:eastAsia="zh-TW"/>
        </w:rPr>
        <w:t xml:space="preserve"> shed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487D0A" w:rsidRPr="00D624EA">
        <w:rPr>
          <w:rFonts w:ascii="Arial" w:hAnsi="Arial" w:cs="Arial"/>
          <w:sz w:val="22"/>
          <w:szCs w:val="22"/>
          <w:lang w:eastAsia="zh-TW"/>
        </w:rPr>
        <w:t xml:space="preserve">and 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>garage</w:t>
      </w:r>
      <w:r w:rsidR="00AC76AD" w:rsidRPr="00D624EA">
        <w:rPr>
          <w:rFonts w:ascii="Arial" w:hAnsi="Arial" w:cs="Arial"/>
          <w:sz w:val="22"/>
          <w:szCs w:val="22"/>
          <w:lang w:eastAsia="zh-TW"/>
        </w:rPr>
        <w:t>)</w:t>
      </w:r>
    </w:p>
    <w:p w:rsidR="00B55A26" w:rsidRPr="00D624EA" w:rsidRDefault="00801765" w:rsidP="00161DB9">
      <w:pPr>
        <w:pStyle w:val="ListParagraph"/>
        <w:widowControl/>
        <w:numPr>
          <w:ilvl w:val="0"/>
          <w:numId w:val="27"/>
        </w:numPr>
        <w:autoSpaceDE/>
        <w:adjustRightInd/>
        <w:spacing w:after="120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>Horizontal Additions if the footprint area increases more than 50%</w:t>
      </w:r>
      <w:r w:rsidR="00F66BFB">
        <w:rPr>
          <w:rFonts w:ascii="Arial" w:eastAsia="Times New Roman" w:hAnsi="Arial" w:cs="Arial"/>
          <w:sz w:val="22"/>
          <w:szCs w:val="22"/>
          <w:lang w:eastAsia="zh-CN"/>
        </w:rPr>
        <w:t xml:space="preserve"> of the existing square footage</w:t>
      </w:r>
    </w:p>
    <w:p w:rsidR="00801765" w:rsidRPr="00D624EA" w:rsidRDefault="00801765" w:rsidP="003F435A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Horizontal </w:t>
      </w:r>
      <w:r w:rsidR="00493CC5" w:rsidRPr="00D624EA">
        <w:rPr>
          <w:rFonts w:ascii="Arial" w:eastAsia="PMingLiU" w:hAnsi="Arial" w:cs="Arial"/>
          <w:sz w:val="22"/>
          <w:szCs w:val="22"/>
          <w:lang w:eastAsia="zh-TW"/>
        </w:rPr>
        <w:t>and</w:t>
      </w:r>
      <w:r w:rsidR="00C44E56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Vertical Additions increase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more than 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>500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sq</w:t>
      </w:r>
      <w:r w:rsidR="00D624EA">
        <w:rPr>
          <w:rFonts w:ascii="Arial" w:eastAsia="Times New Roman" w:hAnsi="Arial" w:cs="Arial"/>
          <w:sz w:val="22"/>
          <w:szCs w:val="22"/>
          <w:lang w:eastAsia="zh-CN"/>
        </w:rPr>
        <w:t>uare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f</w:t>
      </w:r>
      <w:r w:rsidR="00D624EA">
        <w:rPr>
          <w:rFonts w:ascii="Arial" w:eastAsia="Times New Roman" w:hAnsi="Arial" w:cs="Arial"/>
          <w:sz w:val="22"/>
          <w:szCs w:val="22"/>
          <w:lang w:eastAsia="zh-CN"/>
        </w:rPr>
        <w:t>ee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t of 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 xml:space="preserve">new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>projected roof area</w:t>
      </w:r>
      <w:r w:rsidR="00AC76AD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within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 xml:space="preserve"> the </w:t>
      </w:r>
      <w:r w:rsidR="003F435A" w:rsidRPr="003F435A">
        <w:rPr>
          <w:rFonts w:ascii="Arial" w:eastAsia="Times New Roman" w:hAnsi="Arial" w:cs="Arial"/>
          <w:sz w:val="22"/>
          <w:szCs w:val="22"/>
          <w:lang w:eastAsia="zh-CN"/>
        </w:rPr>
        <w:t>earthquake induced landslide area on the state of California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 xml:space="preserve"> Department of Conservation Division of M</w:t>
      </w:r>
      <w:r w:rsidR="003F435A" w:rsidRPr="003F435A">
        <w:rPr>
          <w:rFonts w:ascii="Arial" w:eastAsia="Times New Roman" w:hAnsi="Arial" w:cs="Arial"/>
          <w:sz w:val="22"/>
          <w:szCs w:val="22"/>
          <w:lang w:eastAsia="zh-CN"/>
        </w:rPr>
        <w:t xml:space="preserve">ines and </w:t>
      </w:r>
      <w:r w:rsidR="00D50FD3">
        <w:rPr>
          <w:rFonts w:ascii="Arial" w:eastAsia="Times New Roman" w:hAnsi="Arial" w:cs="Arial"/>
          <w:sz w:val="22"/>
          <w:szCs w:val="22"/>
          <w:lang w:eastAsia="zh-CN"/>
        </w:rPr>
        <w:t>Geology (CDMG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>) Seismic Hazard Zones M</w:t>
      </w:r>
      <w:r w:rsidR="003F435A" w:rsidRPr="003F435A">
        <w:rPr>
          <w:rFonts w:ascii="Arial" w:eastAsia="Times New Roman" w:hAnsi="Arial" w:cs="Arial"/>
          <w:sz w:val="22"/>
          <w:szCs w:val="22"/>
          <w:lang w:eastAsia="zh-CN"/>
        </w:rPr>
        <w:t xml:space="preserve">ap for 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>San F</w:t>
      </w:r>
      <w:r w:rsidR="003F435A" w:rsidRPr="003F435A">
        <w:rPr>
          <w:rFonts w:ascii="Arial" w:eastAsia="Times New Roman" w:hAnsi="Arial" w:cs="Arial"/>
          <w:sz w:val="22"/>
          <w:szCs w:val="22"/>
          <w:lang w:eastAsia="zh-CN"/>
        </w:rPr>
        <w:t>ranci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 xml:space="preserve">sco, released November 17, 2000, or </w:t>
      </w:r>
      <w:r w:rsidR="00161DB9" w:rsidRPr="003F435A">
        <w:rPr>
          <w:rFonts w:ascii="Arial" w:eastAsia="Times New Roman" w:hAnsi="Arial" w:cs="Arial"/>
          <w:sz w:val="22"/>
          <w:szCs w:val="22"/>
          <w:lang w:eastAsia="zh-CN"/>
        </w:rPr>
        <w:t>property exceeding an average slope of 4</w:t>
      </w:r>
      <w:r w:rsidR="00161DB9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161DB9" w:rsidRPr="003F435A">
        <w:rPr>
          <w:rFonts w:ascii="Arial" w:eastAsia="Times New Roman" w:hAnsi="Arial" w:cs="Arial"/>
          <w:sz w:val="22"/>
          <w:szCs w:val="22"/>
          <w:lang w:eastAsia="zh-CN"/>
        </w:rPr>
        <w:t>h</w:t>
      </w:r>
      <w:r w:rsidR="00161DB9">
        <w:rPr>
          <w:rFonts w:ascii="Arial" w:eastAsia="Times New Roman" w:hAnsi="Arial" w:cs="Arial"/>
          <w:sz w:val="22"/>
          <w:szCs w:val="22"/>
          <w:lang w:eastAsia="zh-CN"/>
        </w:rPr>
        <w:t xml:space="preserve">orizontal to </w:t>
      </w:r>
      <w:r w:rsidR="00161DB9" w:rsidRPr="003F435A">
        <w:rPr>
          <w:rFonts w:ascii="Arial" w:eastAsia="Times New Roman" w:hAnsi="Arial" w:cs="Arial"/>
          <w:sz w:val="22"/>
          <w:szCs w:val="22"/>
          <w:lang w:eastAsia="zh-CN"/>
        </w:rPr>
        <w:t>1</w:t>
      </w:r>
      <w:r w:rsidR="00161DB9">
        <w:rPr>
          <w:rFonts w:ascii="Arial" w:eastAsia="Times New Roman" w:hAnsi="Arial" w:cs="Arial"/>
          <w:sz w:val="22"/>
          <w:szCs w:val="22"/>
          <w:lang w:eastAsia="zh-CN"/>
        </w:rPr>
        <w:t xml:space="preserve"> vertical </w:t>
      </w:r>
      <w:r w:rsidR="00161DB9" w:rsidRPr="003F435A">
        <w:rPr>
          <w:rFonts w:ascii="Arial" w:eastAsia="Times New Roman" w:hAnsi="Arial" w:cs="Arial"/>
          <w:sz w:val="22"/>
          <w:szCs w:val="22"/>
          <w:lang w:eastAsia="zh-CN"/>
        </w:rPr>
        <w:t>grade</w:t>
      </w:r>
      <w:r w:rsidR="003F435A">
        <w:rPr>
          <w:rFonts w:ascii="Arial" w:eastAsia="Times New Roman" w:hAnsi="Arial" w:cs="Arial"/>
          <w:sz w:val="22"/>
          <w:szCs w:val="22"/>
          <w:lang w:eastAsia="zh-CN"/>
        </w:rPr>
        <w:t>,</w:t>
      </w:r>
      <w:r w:rsidR="00E13C5F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AC76AD" w:rsidRPr="00D624EA">
        <w:rPr>
          <w:rFonts w:ascii="Arial" w:eastAsia="Times New Roman" w:hAnsi="Arial" w:cs="Arial"/>
          <w:sz w:val="22"/>
          <w:szCs w:val="22"/>
          <w:lang w:eastAsia="zh-CN"/>
        </w:rPr>
        <w:t>per SF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>BC Section 106A.4.1.4.3</w:t>
      </w:r>
      <w:r w:rsidR="00AC76AD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and per SF</w:t>
      </w:r>
      <w:r w:rsidR="003B2C69" w:rsidRPr="00D624EA">
        <w:rPr>
          <w:rFonts w:ascii="Arial" w:eastAsia="Times New Roman" w:hAnsi="Arial" w:cs="Arial"/>
          <w:sz w:val="22"/>
          <w:szCs w:val="22"/>
          <w:lang w:eastAsia="zh-CN"/>
        </w:rPr>
        <w:t>BC Section 106A.4.1.4.4</w:t>
      </w:r>
      <w:r w:rsidR="00F66BFB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:rsidR="002300FE" w:rsidRDefault="00D50FD3" w:rsidP="00C507C2">
      <w:pPr>
        <w:pStyle w:val="ListParagraph"/>
        <w:widowControl/>
        <w:autoSpaceDE/>
        <w:autoSpaceDN/>
        <w:adjustRightInd/>
        <w:spacing w:after="120"/>
        <w:ind w:left="99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>[See SECTION (D</w:t>
      </w:r>
      <w:r w:rsidR="00D624EA" w:rsidRPr="00D624EA">
        <w:rPr>
          <w:rFonts w:ascii="Arial" w:eastAsia="Times New Roman" w:hAnsi="Arial" w:cs="Arial"/>
          <w:sz w:val="22"/>
          <w:szCs w:val="22"/>
          <w:lang w:eastAsia="zh-CN"/>
        </w:rPr>
        <w:t>)</w:t>
      </w:r>
      <w:r w:rsidR="00BF090A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page 3</w:t>
      </w:r>
      <w:r w:rsidR="006920EF" w:rsidRPr="00D624EA">
        <w:rPr>
          <w:rFonts w:ascii="Arial" w:eastAsia="Times New Roman" w:hAnsi="Arial" w:cs="Arial"/>
          <w:sz w:val="22"/>
          <w:szCs w:val="22"/>
          <w:lang w:eastAsia="zh-CN"/>
        </w:rPr>
        <w:t>]</w:t>
      </w:r>
    </w:p>
    <w:p w:rsidR="004C3F52" w:rsidRPr="00D624EA" w:rsidRDefault="004C3F52" w:rsidP="00161DB9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D624EA">
        <w:rPr>
          <w:rFonts w:ascii="Arial" w:eastAsia="PMingLiU" w:hAnsi="Arial" w:cs="Arial"/>
          <w:bCs/>
          <w:sz w:val="22"/>
          <w:szCs w:val="22"/>
          <w:lang w:eastAsia="zh-TW"/>
        </w:rPr>
        <w:t>Any</w:t>
      </w:r>
      <w:r w:rsidRPr="00D624EA">
        <w:rPr>
          <w:rFonts w:ascii="Arial" w:hAnsi="Arial" w:cs="Arial"/>
          <w:bCs/>
          <w:sz w:val="22"/>
          <w:szCs w:val="22"/>
        </w:rPr>
        <w:t xml:space="preserve"> of the following</w:t>
      </w:r>
      <w:r w:rsidR="00814AFB" w:rsidRPr="00D624EA">
        <w:rPr>
          <w:rFonts w:ascii="Arial" w:eastAsia="PMingLiU" w:hAnsi="Arial" w:cs="Arial"/>
          <w:bCs/>
          <w:sz w:val="22"/>
          <w:szCs w:val="22"/>
          <w:lang w:eastAsia="zh-TW"/>
        </w:rPr>
        <w:t xml:space="preserve"> </w:t>
      </w:r>
      <w:r w:rsidRPr="00D624EA">
        <w:rPr>
          <w:rFonts w:ascii="Arial" w:eastAsia="PMingLiU" w:hAnsi="Arial" w:cs="Arial"/>
          <w:bCs/>
          <w:sz w:val="22"/>
          <w:szCs w:val="22"/>
          <w:lang w:eastAsia="zh-TW"/>
        </w:rPr>
        <w:t>grading</w:t>
      </w:r>
      <w:r w:rsidR="00ED60A2" w:rsidRPr="00D624EA">
        <w:rPr>
          <w:rFonts w:ascii="Arial" w:eastAsia="PMingLiU" w:hAnsi="Arial" w:cs="Arial"/>
          <w:bCs/>
          <w:sz w:val="22"/>
          <w:szCs w:val="22"/>
          <w:lang w:eastAsia="zh-TW"/>
        </w:rPr>
        <w:t xml:space="preserve"> (</w:t>
      </w:r>
      <w:r w:rsidR="007C6AD7" w:rsidRPr="00D624EA">
        <w:rPr>
          <w:rFonts w:ascii="Arial" w:eastAsia="PMingLiU" w:hAnsi="Arial" w:cs="Arial"/>
          <w:bCs/>
          <w:sz w:val="22"/>
          <w:szCs w:val="22"/>
          <w:lang w:eastAsia="zh-TW"/>
        </w:rPr>
        <w:t xml:space="preserve">per </w:t>
      </w:r>
      <w:r w:rsidR="00ED60A2" w:rsidRPr="00D624EA">
        <w:rPr>
          <w:rFonts w:ascii="Arial" w:eastAsia="PMingLiU" w:hAnsi="Arial" w:cs="Arial"/>
          <w:bCs/>
          <w:sz w:val="22"/>
          <w:szCs w:val="22"/>
          <w:lang w:eastAsia="zh-TW"/>
        </w:rPr>
        <w:t>SFBC Section J104.3)</w:t>
      </w:r>
      <w:r w:rsidRPr="00D624EA">
        <w:rPr>
          <w:rFonts w:ascii="Arial" w:hAnsi="Arial" w:cs="Arial"/>
          <w:bCs/>
          <w:sz w:val="22"/>
          <w:szCs w:val="22"/>
        </w:rPr>
        <w:t>:</w:t>
      </w:r>
    </w:p>
    <w:p w:rsidR="004C3F52" w:rsidRPr="00D624EA" w:rsidRDefault="004C3F52" w:rsidP="00D84C37">
      <w:pPr>
        <w:pStyle w:val="NormalWeb"/>
        <w:numPr>
          <w:ilvl w:val="1"/>
          <w:numId w:val="27"/>
        </w:numPr>
        <w:spacing w:before="120" w:beforeAutospacing="0" w:after="120" w:afterAutospacing="0"/>
        <w:ind w:left="1570" w:hanging="490"/>
        <w:rPr>
          <w:rFonts w:ascii="Arial" w:hAnsi="Arial" w:cs="Arial"/>
          <w:sz w:val="22"/>
          <w:szCs w:val="22"/>
        </w:rPr>
      </w:pPr>
      <w:r w:rsidRPr="00D624EA">
        <w:rPr>
          <w:rFonts w:ascii="Arial" w:eastAsia="PMingLiU" w:hAnsi="Arial" w:cs="Arial"/>
          <w:bCs/>
          <w:sz w:val="22"/>
          <w:szCs w:val="22"/>
          <w:lang w:eastAsia="zh-TW"/>
        </w:rPr>
        <w:t>C</w:t>
      </w:r>
      <w:r w:rsidRPr="00D624EA">
        <w:rPr>
          <w:rFonts w:ascii="Arial" w:hAnsi="Arial" w:cs="Arial"/>
          <w:bCs/>
          <w:sz w:val="22"/>
          <w:szCs w:val="22"/>
        </w:rPr>
        <w:t>ut section is greater than 10 feet in vertical height.</w:t>
      </w:r>
    </w:p>
    <w:p w:rsidR="004C3F52" w:rsidRPr="00D624EA" w:rsidRDefault="004C3F52" w:rsidP="00D84C37">
      <w:pPr>
        <w:pStyle w:val="NormalWeb"/>
        <w:numPr>
          <w:ilvl w:val="1"/>
          <w:numId w:val="27"/>
        </w:numPr>
        <w:spacing w:before="120" w:beforeAutospacing="0" w:after="120" w:afterAutospacing="0"/>
        <w:ind w:left="1570" w:hanging="490"/>
        <w:rPr>
          <w:rFonts w:ascii="Arial" w:hAnsi="Arial" w:cs="Arial"/>
          <w:sz w:val="22"/>
          <w:szCs w:val="22"/>
        </w:rPr>
      </w:pPr>
      <w:r w:rsidRPr="00D624EA">
        <w:rPr>
          <w:rFonts w:ascii="Arial" w:eastAsia="PMingLiU" w:hAnsi="Arial" w:cs="Arial"/>
          <w:bCs/>
          <w:sz w:val="22"/>
          <w:szCs w:val="22"/>
          <w:lang w:eastAsia="zh-TW"/>
        </w:rPr>
        <w:t>C</w:t>
      </w:r>
      <w:r w:rsidRPr="00D624EA">
        <w:rPr>
          <w:rFonts w:ascii="Arial" w:hAnsi="Arial" w:cs="Arial"/>
          <w:bCs/>
          <w:sz w:val="22"/>
          <w:szCs w:val="22"/>
        </w:rPr>
        <w:t>ut slope is steeper than 2 horizontal to 1 vertical.</w:t>
      </w:r>
    </w:p>
    <w:p w:rsidR="004C3F52" w:rsidRPr="00D624EA" w:rsidRDefault="007B45C7" w:rsidP="00D84C37">
      <w:pPr>
        <w:pStyle w:val="NormalWeb"/>
        <w:numPr>
          <w:ilvl w:val="1"/>
          <w:numId w:val="27"/>
        </w:numPr>
        <w:spacing w:before="120" w:beforeAutospacing="0" w:after="120" w:afterAutospacing="0"/>
        <w:ind w:left="1570" w:hanging="490"/>
        <w:jc w:val="both"/>
        <w:rPr>
          <w:rFonts w:ascii="Arial" w:eastAsia="PMingLiU" w:hAnsi="Arial" w:cs="Arial"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BF453" wp14:editId="5F78D051">
                <wp:simplePos x="0" y="0"/>
                <wp:positionH relativeFrom="column">
                  <wp:posOffset>-317500</wp:posOffset>
                </wp:positionH>
                <wp:positionV relativeFrom="paragraph">
                  <wp:posOffset>368300</wp:posOffset>
                </wp:positionV>
                <wp:extent cx="0" cy="1828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9432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29pt" to="-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" strokecolor="black [3040]" strokeweight="1pt"/>
            </w:pict>
          </mc:Fallback>
        </mc:AlternateContent>
      </w:r>
      <w:r w:rsidR="004C3F52" w:rsidRPr="00D624EA">
        <w:rPr>
          <w:rFonts w:ascii="Arial" w:hAnsi="Arial" w:cs="Arial"/>
          <w:bCs/>
          <w:sz w:val="22"/>
          <w:szCs w:val="22"/>
        </w:rPr>
        <w:t>The tops of cut banks are separated from any structure or major improvement by a distance, meas</w:t>
      </w:r>
      <w:r w:rsidR="005910C1" w:rsidRPr="00D624EA">
        <w:rPr>
          <w:rFonts w:ascii="Arial" w:hAnsi="Arial" w:cs="Arial"/>
          <w:bCs/>
          <w:sz w:val="22"/>
          <w:szCs w:val="22"/>
        </w:rPr>
        <w:t xml:space="preserve">ured horizontally, </w:t>
      </w:r>
      <w:r w:rsidR="004C3F52" w:rsidRPr="00D624EA">
        <w:rPr>
          <w:rFonts w:ascii="Arial" w:hAnsi="Arial" w:cs="Arial"/>
          <w:bCs/>
          <w:sz w:val="22"/>
          <w:szCs w:val="22"/>
        </w:rPr>
        <w:t>less than the height of the bank.</w:t>
      </w:r>
    </w:p>
    <w:p w:rsidR="004C3F52" w:rsidRPr="00161DB9" w:rsidRDefault="00161DB9" w:rsidP="00161DB9">
      <w:pPr>
        <w:pStyle w:val="NormalWeb"/>
        <w:numPr>
          <w:ilvl w:val="1"/>
          <w:numId w:val="27"/>
        </w:numPr>
        <w:spacing w:before="120" w:beforeAutospacing="0" w:after="120" w:afterAutospacing="0"/>
        <w:rPr>
          <w:rFonts w:ascii="Arial" w:hAnsi="Arial" w:cs="Arial"/>
          <w:bCs/>
          <w:sz w:val="22"/>
          <w:szCs w:val="22"/>
        </w:rPr>
      </w:pPr>
      <w:r w:rsidRPr="00161DB9">
        <w:rPr>
          <w:rFonts w:ascii="Arial" w:eastAsia="PMingLiU" w:hAnsi="Arial" w:cs="Arial"/>
          <w:bCs/>
          <w:sz w:val="22"/>
          <w:szCs w:val="22"/>
          <w:lang w:eastAsia="zh-TW"/>
        </w:rPr>
        <w:t>Grading, excavation or fill of over 50</w:t>
      </w:r>
      <w:r w:rsidR="007B45C7">
        <w:rPr>
          <w:rFonts w:ascii="Arial" w:eastAsia="PMingLiU" w:hAnsi="Arial" w:cs="Arial"/>
          <w:bCs/>
          <w:sz w:val="22"/>
          <w:szCs w:val="22"/>
          <w:lang w:eastAsia="zh-TW"/>
        </w:rPr>
        <w:t>00</w:t>
      </w:r>
      <w:r w:rsidRPr="00161DB9">
        <w:rPr>
          <w:rFonts w:ascii="Arial" w:eastAsia="PMingLiU" w:hAnsi="Arial" w:cs="Arial"/>
          <w:bCs/>
          <w:sz w:val="22"/>
          <w:szCs w:val="22"/>
          <w:lang w:eastAsia="zh-TW"/>
        </w:rPr>
        <w:t xml:space="preserve"> cubic yards of earth material.</w:t>
      </w:r>
    </w:p>
    <w:p w:rsidR="009D1CF3" w:rsidRPr="00D624EA" w:rsidRDefault="00ED60A2" w:rsidP="00161DB9">
      <w:pPr>
        <w:pStyle w:val="ListParagraph"/>
        <w:widowControl/>
        <w:numPr>
          <w:ilvl w:val="1"/>
          <w:numId w:val="27"/>
        </w:numPr>
        <w:autoSpaceDE/>
        <w:adjustRightInd/>
        <w:spacing w:before="120" w:after="12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bCs/>
          <w:sz w:val="22"/>
          <w:szCs w:val="22"/>
        </w:rPr>
        <w:t xml:space="preserve">Grading performed at a site </w:t>
      </w:r>
      <w:r w:rsidR="009D1CF3" w:rsidRPr="00D624EA">
        <w:rPr>
          <w:rFonts w:ascii="Arial" w:eastAsia="Times New Roman" w:hAnsi="Arial" w:cs="Arial"/>
          <w:sz w:val="22"/>
          <w:szCs w:val="22"/>
          <w:lang w:eastAsia="zh-CN"/>
        </w:rPr>
        <w:t>located within</w:t>
      </w:r>
      <w:r w:rsidR="00161DB9">
        <w:t xml:space="preserve"> </w:t>
      </w:r>
      <w:r w:rsidR="00161DB9" w:rsidRPr="00161DB9">
        <w:rPr>
          <w:rFonts w:ascii="Arial" w:eastAsia="Times New Roman" w:hAnsi="Arial" w:cs="Arial"/>
          <w:sz w:val="22"/>
          <w:szCs w:val="22"/>
          <w:lang w:eastAsia="zh-CN"/>
        </w:rPr>
        <w:t>the earthquake induced landslide area on the state of California Department of Conservation Division of Mines and Geology (</w:t>
      </w:r>
      <w:r w:rsidR="00FE6E6F">
        <w:rPr>
          <w:rFonts w:ascii="Arial" w:eastAsia="Times New Roman" w:hAnsi="Arial" w:cs="Arial"/>
          <w:sz w:val="22"/>
          <w:szCs w:val="22"/>
          <w:lang w:eastAsia="zh-CN"/>
        </w:rPr>
        <w:t>CDMG</w:t>
      </w:r>
      <w:r w:rsidR="00161DB9" w:rsidRPr="00161DB9">
        <w:rPr>
          <w:rFonts w:ascii="Arial" w:eastAsia="Times New Roman" w:hAnsi="Arial" w:cs="Arial"/>
          <w:sz w:val="22"/>
          <w:szCs w:val="22"/>
          <w:lang w:eastAsia="zh-CN"/>
        </w:rPr>
        <w:t>) Seismic Hazard Zones Map for San Francisco, released November 17, 2000</w:t>
      </w:r>
      <w:r w:rsidR="00E13C5F" w:rsidRPr="00D624EA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:rsidR="00C07D4C" w:rsidRPr="00D624EA" w:rsidRDefault="00C07D4C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>Slope of fill is steeper than two units hori</w:t>
      </w:r>
      <w:r w:rsidR="00D624EA">
        <w:rPr>
          <w:rFonts w:ascii="Arial" w:eastAsia="Times New Roman" w:hAnsi="Arial" w:cs="Arial"/>
          <w:sz w:val="22"/>
          <w:szCs w:val="22"/>
          <w:lang w:eastAsia="zh-CN"/>
        </w:rPr>
        <w:t xml:space="preserve">zontal to one unit vertical (50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percent slope) specified per </w:t>
      </w:r>
      <w:r w:rsidR="004C3F52" w:rsidRPr="00D624EA">
        <w:rPr>
          <w:rFonts w:ascii="Arial" w:eastAsia="Times New Roman" w:hAnsi="Arial" w:cs="Arial"/>
          <w:sz w:val="22"/>
          <w:szCs w:val="22"/>
          <w:lang w:eastAsia="zh-CN"/>
        </w:rPr>
        <w:t>SFBC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Section J107.6</w:t>
      </w:r>
      <w:r w:rsidRPr="00D624EA">
        <w:rPr>
          <w:rFonts w:ascii="Arial" w:eastAsia="PMingLiU" w:hAnsi="Arial" w:cs="Arial"/>
          <w:sz w:val="22"/>
          <w:szCs w:val="22"/>
          <w:lang w:eastAsia="zh-TW"/>
        </w:rPr>
        <w:t>, or deviate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D624EA">
        <w:rPr>
          <w:rFonts w:ascii="Arial" w:eastAsia="PMingLiU" w:hAnsi="Arial" w:cs="Arial"/>
          <w:sz w:val="22"/>
          <w:szCs w:val="22"/>
          <w:lang w:eastAsia="zh-TW"/>
        </w:rPr>
        <w:t xml:space="preserve">from the stipulated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provisions in </w:t>
      </w:r>
      <w:r w:rsidR="004C3F52" w:rsidRPr="00D624EA">
        <w:rPr>
          <w:rFonts w:ascii="Arial" w:eastAsia="Times New Roman" w:hAnsi="Arial" w:cs="Arial"/>
          <w:sz w:val="22"/>
          <w:szCs w:val="22"/>
          <w:lang w:eastAsia="zh-CN"/>
        </w:rPr>
        <w:t>SFBC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Section J107 Fills. </w:t>
      </w:r>
    </w:p>
    <w:p w:rsidR="008F4B89" w:rsidRPr="00D624EA" w:rsidRDefault="00D624EA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hAnsi="Arial" w:cs="Arial"/>
          <w:sz w:val="22"/>
          <w:szCs w:val="22"/>
          <w:lang w:eastAsia="zh-TW"/>
        </w:rPr>
        <w:t>Any footings on/</w:t>
      </w:r>
      <w:r w:rsidR="00C71083" w:rsidRPr="00D624EA">
        <w:rPr>
          <w:rFonts w:ascii="Arial" w:hAnsi="Arial" w:cs="Arial"/>
          <w:sz w:val="22"/>
          <w:szCs w:val="22"/>
          <w:lang w:eastAsia="zh-TW"/>
        </w:rPr>
        <w:t xml:space="preserve">or adjacent to slopes steeper than one unit vertical in three units horizontal without clearances as indicated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="00C71083" w:rsidRPr="00D624EA">
        <w:rPr>
          <w:rFonts w:ascii="Arial" w:hAnsi="Arial" w:cs="Arial"/>
          <w:sz w:val="22"/>
          <w:szCs w:val="22"/>
          <w:lang w:eastAsia="zh-TW"/>
        </w:rPr>
        <w:t xml:space="preserve"> Section 1808.7 and Figure 1808.7.1.</w:t>
      </w:r>
    </w:p>
    <w:p w:rsidR="00B55A26" w:rsidRPr="00D624EA" w:rsidRDefault="00B55A26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>The design soil lateral load</w:t>
      </w:r>
      <w:r w:rsidR="00D607BB">
        <w:rPr>
          <w:rFonts w:ascii="Arial" w:eastAsia="Times New Roman" w:hAnsi="Arial" w:cs="Arial"/>
          <w:sz w:val="22"/>
          <w:szCs w:val="22"/>
          <w:lang w:eastAsia="zh-CN"/>
        </w:rPr>
        <w:t>s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D91583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are less than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the </w:t>
      </w:r>
      <w:r w:rsidR="00D91583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minimum design </w:t>
      </w:r>
      <w:r w:rsidR="00846821" w:rsidRPr="00D624EA">
        <w:rPr>
          <w:rFonts w:ascii="Arial" w:eastAsia="Times New Roman" w:hAnsi="Arial" w:cs="Arial"/>
          <w:sz w:val="22"/>
          <w:szCs w:val="22"/>
          <w:lang w:eastAsia="zh-CN"/>
        </w:rPr>
        <w:t>requirements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specified in </w:t>
      </w:r>
      <w:r w:rsidR="00D607BB">
        <w:rPr>
          <w:rFonts w:ascii="Arial" w:eastAsia="Times New Roman" w:hAnsi="Arial" w:cs="Arial"/>
          <w:sz w:val="22"/>
          <w:szCs w:val="22"/>
          <w:lang w:eastAsia="zh-CN"/>
        </w:rPr>
        <w:t xml:space="preserve">           </w:t>
      </w:r>
      <w:r w:rsidR="00015E85">
        <w:rPr>
          <w:rFonts w:ascii="Arial" w:eastAsia="Times New Roman" w:hAnsi="Arial" w:cs="Arial"/>
          <w:sz w:val="22"/>
          <w:szCs w:val="22"/>
          <w:lang w:eastAsia="zh-CN"/>
        </w:rPr>
        <w:t xml:space="preserve">SFBC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>Section 1610 Soil Lateral Loads</w:t>
      </w:r>
      <w:r w:rsidR="00D91583" w:rsidRPr="00D624EA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:rsidR="00B55A26" w:rsidRPr="00D624EA" w:rsidRDefault="00B55A26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Times New Roman" w:hAnsi="Arial" w:cs="Arial"/>
          <w:sz w:val="22"/>
          <w:szCs w:val="22"/>
          <w:lang w:eastAsia="zh-CN"/>
        </w:rPr>
        <w:t>The design load bearing value</w:t>
      </w:r>
      <w:r w:rsidR="00E52338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used 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exceeds </w:t>
      </w:r>
      <w:r w:rsidR="00E52338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values stipulated for Class 4 or 5 soil materials in </w:t>
      </w:r>
      <w:r w:rsidR="00CB34E0" w:rsidRPr="00D624EA">
        <w:rPr>
          <w:rFonts w:ascii="Arial" w:eastAsia="PMingLiU" w:hAnsi="Arial" w:cs="Arial"/>
          <w:sz w:val="22"/>
          <w:szCs w:val="22"/>
          <w:lang w:eastAsia="zh-TW"/>
        </w:rPr>
        <w:t xml:space="preserve">SFBC </w:t>
      </w:r>
      <w:r w:rsidR="00E52338" w:rsidRPr="00D624EA">
        <w:rPr>
          <w:rFonts w:ascii="Arial" w:eastAsia="Times New Roman" w:hAnsi="Arial" w:cs="Arial"/>
          <w:sz w:val="22"/>
          <w:szCs w:val="22"/>
          <w:lang w:eastAsia="zh-CN"/>
        </w:rPr>
        <w:t>Table 1806.2</w:t>
      </w:r>
      <w:r w:rsidR="00D03B78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 Presumptive Load-Bearing Values</w:t>
      </w:r>
      <w:r w:rsidRPr="00D624EA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:rsidR="008F4B89" w:rsidRPr="00D624EA" w:rsidRDefault="008F4B89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>S</w:t>
      </w:r>
      <w:r w:rsidR="00B55A26" w:rsidRPr="00D624EA">
        <w:rPr>
          <w:rFonts w:ascii="Arial" w:eastAsia="Times New Roman" w:hAnsi="Arial" w:cs="Arial"/>
          <w:sz w:val="22"/>
          <w:szCs w:val="22"/>
          <w:lang w:eastAsia="zh-CN"/>
        </w:rPr>
        <w:t xml:space="preserve">pecial foundation </w:t>
      </w:r>
      <w:r w:rsidR="00C07D4C" w:rsidRPr="00D624EA">
        <w:rPr>
          <w:rFonts w:ascii="Arial" w:eastAsia="PMingLiU" w:hAnsi="Arial" w:cs="Arial"/>
          <w:sz w:val="22"/>
          <w:szCs w:val="22"/>
          <w:lang w:eastAsia="zh-TW"/>
        </w:rPr>
        <w:t xml:space="preserve">including but not limited to </w:t>
      </w:r>
      <w:r w:rsidR="00C84863" w:rsidRPr="00D624EA">
        <w:rPr>
          <w:rFonts w:ascii="Arial" w:eastAsia="Times New Roman" w:hAnsi="Arial" w:cs="Arial"/>
          <w:sz w:val="22"/>
          <w:szCs w:val="22"/>
          <w:lang w:eastAsia="zh-CN"/>
        </w:rPr>
        <w:t>piles, piers</w:t>
      </w:r>
      <w:r w:rsidR="00C84863" w:rsidRPr="00D624EA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r w:rsidR="00B55A26" w:rsidRPr="00D624EA">
        <w:rPr>
          <w:rFonts w:ascii="Arial" w:eastAsia="Times New Roman" w:hAnsi="Arial" w:cs="Arial"/>
          <w:sz w:val="22"/>
          <w:szCs w:val="22"/>
          <w:lang w:eastAsia="zh-CN"/>
        </w:rPr>
        <w:t>base isolation</w:t>
      </w:r>
      <w:r w:rsidR="00C84863" w:rsidRPr="00D624EA">
        <w:rPr>
          <w:rFonts w:ascii="Arial" w:eastAsia="PMingLiU" w:hAnsi="Arial" w:cs="Arial"/>
          <w:sz w:val="22"/>
          <w:szCs w:val="22"/>
          <w:lang w:eastAsia="zh-TW"/>
        </w:rPr>
        <w:t xml:space="preserve"> and any design not covered by code</w:t>
      </w:r>
      <w:r w:rsidR="00E63FD5" w:rsidRPr="00D624EA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r w:rsidR="00E52338" w:rsidRPr="00D624EA">
        <w:rPr>
          <w:rFonts w:ascii="Arial" w:hAnsi="Arial" w:cs="Arial"/>
          <w:sz w:val="22"/>
          <w:szCs w:val="22"/>
          <w:lang w:eastAsia="zh-TW"/>
        </w:rPr>
        <w:t>excluding</w:t>
      </w:r>
      <w:r w:rsidRPr="00D624EA">
        <w:rPr>
          <w:rFonts w:ascii="Arial" w:hAnsi="Arial" w:cs="Arial"/>
          <w:sz w:val="22"/>
          <w:szCs w:val="22"/>
          <w:lang w:eastAsia="zh-TW"/>
        </w:rPr>
        <w:t xml:space="preserve"> piers supporting</w:t>
      </w:r>
      <w:r w:rsidR="00C84863" w:rsidRPr="00D624EA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E52338" w:rsidRPr="00D624EA">
        <w:rPr>
          <w:rFonts w:ascii="Arial" w:hAnsi="Arial" w:cs="Arial"/>
          <w:sz w:val="22"/>
          <w:szCs w:val="22"/>
          <w:lang w:eastAsia="zh-TW"/>
        </w:rPr>
        <w:t>a fence, sign or isolated post.</w:t>
      </w:r>
    </w:p>
    <w:p w:rsidR="004B4CCB" w:rsidRPr="00D624EA" w:rsidRDefault="008F4B89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>As required per Building Code</w:t>
      </w:r>
      <w:r w:rsidR="00477A71" w:rsidRPr="00D624EA">
        <w:rPr>
          <w:rFonts w:ascii="Arial" w:hAnsi="Arial" w:cs="Arial"/>
          <w:sz w:val="22"/>
          <w:szCs w:val="22"/>
          <w:lang w:eastAsia="zh-TW"/>
        </w:rPr>
        <w:t>:</w:t>
      </w:r>
    </w:p>
    <w:p w:rsidR="00477A71" w:rsidRPr="00D624EA" w:rsidRDefault="00477A71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>E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>xpansive soil</w:t>
      </w:r>
      <w:r w:rsidR="00125904" w:rsidRPr="00D624EA">
        <w:rPr>
          <w:rFonts w:ascii="Arial" w:hAnsi="Arial" w:cs="Arial"/>
          <w:sz w:val="22"/>
          <w:szCs w:val="22"/>
          <w:lang w:eastAsia="zh-TW"/>
        </w:rPr>
        <w:t xml:space="preserve">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="00125904" w:rsidRPr="00D624EA">
        <w:rPr>
          <w:rFonts w:ascii="Arial" w:hAnsi="Arial" w:cs="Arial"/>
          <w:sz w:val="22"/>
          <w:szCs w:val="22"/>
          <w:lang w:eastAsia="zh-TW"/>
        </w:rPr>
        <w:t xml:space="preserve"> Section 1803.5.3</w:t>
      </w:r>
      <w:r w:rsidR="00E63FD5" w:rsidRPr="00D624EA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477A71" w:rsidRPr="00D624EA" w:rsidRDefault="00477A71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>D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>rainage</w:t>
      </w:r>
      <w:r w:rsidR="00816011" w:rsidRPr="00D624EA">
        <w:rPr>
          <w:rFonts w:ascii="Arial" w:hAnsi="Arial" w:cs="Arial"/>
          <w:sz w:val="22"/>
          <w:szCs w:val="22"/>
          <w:lang w:eastAsia="zh-TW"/>
        </w:rPr>
        <w:t xml:space="preserve"> </w:t>
      </w:r>
      <w:r w:rsidR="00E63FD5" w:rsidRPr="00D624EA">
        <w:rPr>
          <w:rFonts w:ascii="Arial" w:eastAsia="PMingLiU" w:hAnsi="Arial" w:cs="Arial"/>
          <w:sz w:val="22"/>
          <w:szCs w:val="22"/>
          <w:lang w:eastAsia="zh-TW"/>
        </w:rPr>
        <w:t>system</w:t>
      </w:r>
      <w:r w:rsidR="009801A9" w:rsidRPr="00D624EA">
        <w:rPr>
          <w:rFonts w:ascii="Arial" w:hAnsi="Arial" w:cs="Arial"/>
          <w:sz w:val="22"/>
          <w:szCs w:val="22"/>
          <w:lang w:eastAsia="zh-TW"/>
        </w:rPr>
        <w:t xml:space="preserve"> as an alternative to </w:t>
      </w:r>
      <w:r w:rsidR="00142513" w:rsidRPr="00D624EA">
        <w:rPr>
          <w:rFonts w:ascii="Arial" w:hAnsi="Arial" w:cs="Arial"/>
          <w:sz w:val="22"/>
          <w:szCs w:val="22"/>
          <w:lang w:eastAsia="zh-TW"/>
        </w:rPr>
        <w:t xml:space="preserve">the requirements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="009801A9" w:rsidRPr="00D624EA">
        <w:rPr>
          <w:rFonts w:ascii="Arial" w:hAnsi="Arial" w:cs="Arial"/>
          <w:sz w:val="22"/>
          <w:szCs w:val="22"/>
          <w:lang w:eastAsia="zh-TW"/>
        </w:rPr>
        <w:t xml:space="preserve"> Section J109 Drainage and Terracing. </w:t>
      </w:r>
    </w:p>
    <w:p w:rsidR="00B55A26" w:rsidRPr="00D624EA" w:rsidRDefault="00477A71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>W</w:t>
      </w:r>
      <w:r w:rsidR="00D607BB">
        <w:rPr>
          <w:rFonts w:ascii="Arial" w:hAnsi="Arial" w:cs="Arial"/>
          <w:sz w:val="22"/>
          <w:szCs w:val="22"/>
          <w:lang w:eastAsia="zh-TW"/>
        </w:rPr>
        <w:t>ater T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>able</w:t>
      </w:r>
      <w:r w:rsidR="00125904" w:rsidRPr="00D624EA">
        <w:rPr>
          <w:rFonts w:ascii="Arial" w:hAnsi="Arial" w:cs="Arial"/>
          <w:sz w:val="22"/>
          <w:szCs w:val="22"/>
          <w:lang w:eastAsia="zh-TW"/>
        </w:rPr>
        <w:t xml:space="preserve">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="00125904" w:rsidRPr="00D624EA">
        <w:rPr>
          <w:rFonts w:ascii="Arial" w:hAnsi="Arial" w:cs="Arial"/>
          <w:sz w:val="22"/>
          <w:szCs w:val="22"/>
          <w:lang w:eastAsia="zh-TW"/>
        </w:rPr>
        <w:t xml:space="preserve"> Section 1803.5.4</w:t>
      </w:r>
      <w:r w:rsidR="00604743" w:rsidRPr="00D624EA">
        <w:rPr>
          <w:rFonts w:ascii="Arial" w:hAnsi="Arial" w:cs="Arial"/>
          <w:sz w:val="22"/>
          <w:szCs w:val="22"/>
          <w:lang w:eastAsia="zh-TW"/>
        </w:rPr>
        <w:t xml:space="preserve"> to determine </w:t>
      </w:r>
      <w:r w:rsidR="00F569C7" w:rsidRPr="00D624EA">
        <w:rPr>
          <w:rFonts w:ascii="Arial" w:hAnsi="Arial" w:cs="Arial"/>
          <w:sz w:val="22"/>
          <w:szCs w:val="22"/>
          <w:lang w:eastAsia="zh-TW"/>
        </w:rPr>
        <w:t xml:space="preserve">whether </w:t>
      </w:r>
      <w:r w:rsidR="00604743" w:rsidRPr="00D624EA">
        <w:rPr>
          <w:rFonts w:ascii="Arial" w:hAnsi="Arial" w:cs="Arial"/>
          <w:sz w:val="22"/>
          <w:szCs w:val="22"/>
          <w:lang w:eastAsia="zh-TW"/>
        </w:rPr>
        <w:t>the exi</w:t>
      </w:r>
      <w:r w:rsidR="00593892" w:rsidRPr="00D624EA">
        <w:rPr>
          <w:rFonts w:ascii="Arial" w:hAnsi="Arial" w:cs="Arial"/>
          <w:sz w:val="22"/>
          <w:szCs w:val="22"/>
          <w:lang w:eastAsia="zh-TW"/>
        </w:rPr>
        <w:t>s</w:t>
      </w:r>
      <w:r w:rsidR="00604743" w:rsidRPr="00D624EA">
        <w:rPr>
          <w:rFonts w:ascii="Arial" w:hAnsi="Arial" w:cs="Arial"/>
          <w:sz w:val="22"/>
          <w:szCs w:val="22"/>
          <w:lang w:eastAsia="zh-TW"/>
        </w:rPr>
        <w:t xml:space="preserve">ting ground-water table is above or within 5 feet below the elevation of the lowest floor level where such floor is located below the finished ground level adjacent to the foundation, unless waterproofing is provided in accordance with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="00604743" w:rsidRPr="00D624EA">
        <w:rPr>
          <w:rFonts w:ascii="Arial" w:hAnsi="Arial" w:cs="Arial"/>
          <w:sz w:val="22"/>
          <w:szCs w:val="22"/>
          <w:lang w:eastAsia="zh-TW"/>
        </w:rPr>
        <w:t xml:space="preserve"> Section 1805</w:t>
      </w:r>
      <w:r w:rsidR="008F4B89" w:rsidRPr="00D624EA">
        <w:rPr>
          <w:rFonts w:ascii="Arial" w:hAnsi="Arial" w:cs="Arial"/>
          <w:sz w:val="22"/>
          <w:szCs w:val="22"/>
          <w:lang w:eastAsia="zh-TW"/>
        </w:rPr>
        <w:t xml:space="preserve">. </w:t>
      </w:r>
    </w:p>
    <w:p w:rsidR="00477A71" w:rsidRPr="00D624EA" w:rsidRDefault="007C6AD7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eastAsia="PMingLiU" w:hAnsi="Arial" w:cs="Arial"/>
          <w:sz w:val="22"/>
          <w:szCs w:val="22"/>
          <w:lang w:eastAsia="zh-TW"/>
        </w:rPr>
        <w:t>Ground improvement, including s</w:t>
      </w:r>
      <w:r w:rsidR="00477A71" w:rsidRPr="00D624EA">
        <w:rPr>
          <w:rFonts w:ascii="Arial" w:hAnsi="Arial" w:cs="Arial"/>
          <w:sz w:val="22"/>
          <w:szCs w:val="22"/>
          <w:lang w:eastAsia="zh-TW"/>
        </w:rPr>
        <w:t>oil mix grouting and chemical soil grouting</w:t>
      </w:r>
      <w:r w:rsidR="0070738F" w:rsidRPr="00D624EA">
        <w:rPr>
          <w:rFonts w:ascii="Arial" w:hAnsi="Arial" w:cs="Arial"/>
          <w:sz w:val="22"/>
          <w:szCs w:val="22"/>
          <w:lang w:eastAsia="zh-TW"/>
        </w:rPr>
        <w:t>.</w:t>
      </w:r>
    </w:p>
    <w:p w:rsidR="00142513" w:rsidRPr="00D624EA" w:rsidRDefault="00142513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 xml:space="preserve">Where shallow foundations will bear on controlled low-strength material (CLSM), a geotechnical investigation shall be conducted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Pr="00D624EA">
        <w:rPr>
          <w:rFonts w:ascii="Arial" w:hAnsi="Arial" w:cs="Arial"/>
          <w:sz w:val="22"/>
          <w:szCs w:val="22"/>
          <w:lang w:eastAsia="zh-TW"/>
        </w:rPr>
        <w:t xml:space="preserve"> Section 1803.5.9 Controlled low-strength material. </w:t>
      </w:r>
    </w:p>
    <w:p w:rsidR="00142513" w:rsidRPr="00D624EA" w:rsidRDefault="00142513" w:rsidP="00D84C37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  <w:lang w:eastAsia="zh-TW"/>
        </w:rPr>
      </w:pPr>
      <w:r w:rsidRPr="00D624EA">
        <w:rPr>
          <w:rFonts w:ascii="Arial" w:hAnsi="Arial" w:cs="Arial"/>
          <w:sz w:val="22"/>
          <w:szCs w:val="22"/>
          <w:lang w:eastAsia="zh-TW"/>
        </w:rPr>
        <w:t xml:space="preserve">Where geological investigation is deemed necessary per </w:t>
      </w:r>
      <w:r w:rsidR="004C3F52" w:rsidRPr="00D624EA">
        <w:rPr>
          <w:rFonts w:ascii="Arial" w:hAnsi="Arial" w:cs="Arial"/>
          <w:sz w:val="22"/>
          <w:szCs w:val="22"/>
          <w:lang w:eastAsia="zh-TW"/>
        </w:rPr>
        <w:t>SFBC</w:t>
      </w:r>
      <w:r w:rsidRPr="00D624EA">
        <w:rPr>
          <w:rFonts w:ascii="Arial" w:hAnsi="Arial" w:cs="Arial"/>
          <w:sz w:val="22"/>
          <w:szCs w:val="22"/>
          <w:lang w:eastAsia="zh-TW"/>
        </w:rPr>
        <w:t xml:space="preserve"> Section 1803 Geotechnical Investigations.</w:t>
      </w:r>
    </w:p>
    <w:p w:rsidR="00D36C51" w:rsidRDefault="00E52338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hAnsi="Arial" w:cs="Arial"/>
          <w:sz w:val="22"/>
          <w:szCs w:val="22"/>
          <w:lang w:eastAsia="zh-TW"/>
        </w:rPr>
      </w:pPr>
      <w:r w:rsidRPr="002300FE">
        <w:rPr>
          <w:rFonts w:ascii="Arial" w:hAnsi="Arial" w:cs="Arial"/>
          <w:sz w:val="22"/>
          <w:szCs w:val="22"/>
          <w:lang w:eastAsia="zh-TW"/>
        </w:rPr>
        <w:t>Permit scope subjec</w:t>
      </w:r>
      <w:r w:rsidR="00E35051" w:rsidRPr="002300FE">
        <w:rPr>
          <w:rFonts w:ascii="Arial" w:hAnsi="Arial" w:cs="Arial"/>
          <w:sz w:val="22"/>
          <w:szCs w:val="22"/>
          <w:lang w:eastAsia="zh-TW"/>
        </w:rPr>
        <w:t>t to mandatory structural advisory review und</w:t>
      </w:r>
      <w:r w:rsidR="00125904" w:rsidRPr="002300FE">
        <w:rPr>
          <w:rFonts w:ascii="Arial" w:hAnsi="Arial" w:cs="Arial"/>
          <w:sz w:val="22"/>
          <w:szCs w:val="22"/>
          <w:lang w:eastAsia="zh-TW"/>
        </w:rPr>
        <w:t>er SFBC Section 106A.4.1.2 Edgeh</w:t>
      </w:r>
      <w:r w:rsidR="0070738F" w:rsidRPr="002300FE">
        <w:rPr>
          <w:rFonts w:ascii="Arial" w:hAnsi="Arial" w:cs="Arial"/>
          <w:sz w:val="22"/>
          <w:szCs w:val="22"/>
          <w:lang w:eastAsia="zh-TW"/>
        </w:rPr>
        <w:t>ill S</w:t>
      </w:r>
      <w:r w:rsidR="00E35051" w:rsidRPr="002300FE">
        <w:rPr>
          <w:rFonts w:ascii="Arial" w:hAnsi="Arial" w:cs="Arial"/>
          <w:sz w:val="22"/>
          <w:szCs w:val="22"/>
          <w:lang w:eastAsia="zh-TW"/>
        </w:rPr>
        <w:t>lope Protection Area, Se</w:t>
      </w:r>
      <w:r w:rsidR="00125904" w:rsidRPr="002300FE">
        <w:rPr>
          <w:rFonts w:ascii="Arial" w:hAnsi="Arial" w:cs="Arial"/>
          <w:sz w:val="22"/>
          <w:szCs w:val="22"/>
          <w:lang w:eastAsia="zh-TW"/>
        </w:rPr>
        <w:t xml:space="preserve">ction 106A.4.1.3 Northwest Mt. </w:t>
      </w:r>
      <w:proofErr w:type="spellStart"/>
      <w:r w:rsidR="00125904" w:rsidRPr="002300FE">
        <w:rPr>
          <w:rFonts w:ascii="Arial" w:hAnsi="Arial" w:cs="Arial"/>
          <w:sz w:val="22"/>
          <w:szCs w:val="22"/>
          <w:lang w:eastAsia="zh-TW"/>
        </w:rPr>
        <w:t>Su</w:t>
      </w:r>
      <w:r w:rsidR="00E35051" w:rsidRPr="002300FE">
        <w:rPr>
          <w:rFonts w:ascii="Arial" w:hAnsi="Arial" w:cs="Arial"/>
          <w:sz w:val="22"/>
          <w:szCs w:val="22"/>
          <w:lang w:eastAsia="zh-TW"/>
        </w:rPr>
        <w:t>tro</w:t>
      </w:r>
      <w:proofErr w:type="spellEnd"/>
      <w:r w:rsidR="00E35051" w:rsidRPr="002300FE">
        <w:rPr>
          <w:rFonts w:ascii="Arial" w:hAnsi="Arial" w:cs="Arial"/>
          <w:sz w:val="22"/>
          <w:szCs w:val="22"/>
          <w:lang w:eastAsia="zh-TW"/>
        </w:rPr>
        <w:t xml:space="preserve"> Slope Protecti</w:t>
      </w:r>
      <w:r w:rsidR="006920EF" w:rsidRPr="002300FE">
        <w:rPr>
          <w:rFonts w:ascii="Arial" w:hAnsi="Arial" w:cs="Arial"/>
          <w:sz w:val="22"/>
          <w:szCs w:val="22"/>
          <w:lang w:eastAsia="zh-TW"/>
        </w:rPr>
        <w:t>on Area.</w:t>
      </w:r>
    </w:p>
    <w:p w:rsidR="00E63FD5" w:rsidRPr="00D36C51" w:rsidRDefault="00657070" w:rsidP="00D36C5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after="120"/>
        <w:ind w:left="900" w:hanging="540"/>
        <w:jc w:val="both"/>
        <w:rPr>
          <w:rFonts w:ascii="Arial" w:hAnsi="Arial" w:cs="Arial"/>
          <w:sz w:val="22"/>
          <w:szCs w:val="22"/>
          <w:lang w:eastAsia="zh-TW"/>
        </w:rPr>
      </w:pPr>
      <w:r w:rsidRPr="00D36C51">
        <w:rPr>
          <w:rFonts w:ascii="Arial" w:hAnsi="Arial" w:cs="Arial"/>
          <w:sz w:val="22"/>
          <w:szCs w:val="22"/>
          <w:lang w:eastAsia="zh-TW"/>
        </w:rPr>
        <w:t>All structures utilizing Modal Response Spectrum Analy</w:t>
      </w:r>
      <w:r w:rsidR="00ED60A2" w:rsidRPr="00D36C51">
        <w:rPr>
          <w:rFonts w:ascii="Arial" w:hAnsi="Arial" w:cs="Arial"/>
          <w:sz w:val="22"/>
          <w:szCs w:val="22"/>
          <w:lang w:eastAsia="zh-TW"/>
        </w:rPr>
        <w:t>sis in accordance with ASCE 7-</w:t>
      </w:r>
      <w:r w:rsidR="00ED60A2" w:rsidRPr="00D36C51">
        <w:rPr>
          <w:rFonts w:ascii="Arial" w:eastAsia="PMingLiU" w:hAnsi="Arial" w:cs="Arial"/>
          <w:sz w:val="22"/>
          <w:szCs w:val="22"/>
          <w:lang w:eastAsia="zh-TW"/>
        </w:rPr>
        <w:t>10</w:t>
      </w:r>
      <w:r w:rsidR="002300FE" w:rsidRPr="00D36C51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D36C51">
        <w:rPr>
          <w:rFonts w:ascii="Arial" w:hAnsi="Arial" w:cs="Arial"/>
          <w:sz w:val="22"/>
          <w:szCs w:val="22"/>
          <w:lang w:eastAsia="zh-TW"/>
        </w:rPr>
        <w:t>Section 12.9</w:t>
      </w:r>
      <w:r w:rsidR="00C57B9F" w:rsidRPr="00D36C51">
        <w:rPr>
          <w:rFonts w:ascii="Arial" w:hAnsi="Arial" w:cs="Arial"/>
          <w:sz w:val="22"/>
          <w:szCs w:val="22"/>
          <w:lang w:eastAsia="zh-TW"/>
        </w:rPr>
        <w:t xml:space="preserve"> Modal Response Spectrum Analysis</w:t>
      </w:r>
      <w:r w:rsidRPr="00D36C51">
        <w:rPr>
          <w:rFonts w:ascii="Arial" w:hAnsi="Arial" w:cs="Arial"/>
          <w:sz w:val="22"/>
          <w:szCs w:val="22"/>
          <w:lang w:eastAsia="zh-TW"/>
        </w:rPr>
        <w:t xml:space="preserve">. </w:t>
      </w:r>
    </w:p>
    <w:p w:rsidR="00470E91" w:rsidRPr="00D624EA" w:rsidRDefault="00F66BFB" w:rsidP="00907BD9">
      <w:pPr>
        <w:pStyle w:val="ListParagraph"/>
        <w:numPr>
          <w:ilvl w:val="0"/>
          <w:numId w:val="21"/>
        </w:numPr>
        <w:spacing w:before="360" w:after="120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Submittal r</w:t>
      </w:r>
      <w:r w:rsidR="00470E91" w:rsidRPr="00D624EA">
        <w:rPr>
          <w:rFonts w:ascii="Arial" w:hAnsi="Arial" w:cs="Arial"/>
          <w:b/>
          <w:sz w:val="22"/>
          <w:szCs w:val="22"/>
        </w:rPr>
        <w:t xml:space="preserve">equirements for </w:t>
      </w:r>
      <w:r>
        <w:rPr>
          <w:rFonts w:ascii="Arial" w:hAnsi="Arial" w:cs="Arial"/>
          <w:b/>
          <w:sz w:val="22"/>
          <w:szCs w:val="22"/>
          <w:lang w:eastAsia="zh-TW"/>
        </w:rPr>
        <w:t>geotechnical r</w:t>
      </w:r>
      <w:r w:rsidR="0095504A" w:rsidRPr="00D624EA">
        <w:rPr>
          <w:rFonts w:ascii="Arial" w:hAnsi="Arial" w:cs="Arial"/>
          <w:b/>
          <w:sz w:val="22"/>
          <w:szCs w:val="22"/>
          <w:lang w:eastAsia="zh-TW"/>
        </w:rPr>
        <w:t>eport (if required)</w:t>
      </w:r>
    </w:p>
    <w:p w:rsidR="00470E91" w:rsidRPr="00D624EA" w:rsidRDefault="00470E91" w:rsidP="00161DB9">
      <w:pPr>
        <w:spacing w:before="240" w:after="120"/>
        <w:ind w:firstLine="360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 xml:space="preserve">GEOTECHNICAL: </w:t>
      </w:r>
    </w:p>
    <w:p w:rsidR="00331F99" w:rsidRDefault="00470E91" w:rsidP="00C507C2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>Provide original letter wet signed by geotechnical consultant</w:t>
      </w:r>
      <w:r w:rsidR="00020724" w:rsidRPr="00D624EA">
        <w:rPr>
          <w:rFonts w:ascii="Arial" w:hAnsi="Arial" w:cs="Arial"/>
          <w:sz w:val="22"/>
          <w:szCs w:val="22"/>
        </w:rPr>
        <w:t xml:space="preserve">, who is a licensed </w:t>
      </w:r>
      <w:r w:rsidR="00F84DFF" w:rsidRPr="00D624EA">
        <w:rPr>
          <w:rFonts w:ascii="Arial" w:hAnsi="Arial" w:cs="Arial"/>
          <w:sz w:val="22"/>
          <w:szCs w:val="22"/>
        </w:rPr>
        <w:t xml:space="preserve">civil or </w:t>
      </w:r>
      <w:r w:rsidR="00B2121D" w:rsidRPr="00D624EA">
        <w:rPr>
          <w:rFonts w:ascii="Arial" w:hAnsi="Arial" w:cs="Arial"/>
          <w:sz w:val="22"/>
          <w:szCs w:val="22"/>
        </w:rPr>
        <w:t>geotechnical engineer</w:t>
      </w:r>
      <w:r w:rsidR="00020724" w:rsidRPr="00D624EA">
        <w:rPr>
          <w:rFonts w:ascii="Arial" w:hAnsi="Arial" w:cs="Arial"/>
          <w:sz w:val="22"/>
          <w:szCs w:val="22"/>
        </w:rPr>
        <w:t>,</w:t>
      </w:r>
      <w:r w:rsidRPr="00D624EA">
        <w:rPr>
          <w:rFonts w:ascii="Arial" w:hAnsi="Arial" w:cs="Arial"/>
          <w:sz w:val="22"/>
          <w:szCs w:val="22"/>
        </w:rPr>
        <w:t xml:space="preserve"> stating that they have reviewed and approved final structural plans</w:t>
      </w:r>
      <w:r w:rsidR="00657070" w:rsidRPr="00D624EA">
        <w:rPr>
          <w:rFonts w:ascii="Arial" w:hAnsi="Arial" w:cs="Arial"/>
          <w:sz w:val="22"/>
          <w:szCs w:val="22"/>
        </w:rPr>
        <w:t>.</w:t>
      </w:r>
      <w:r w:rsidR="00331F99">
        <w:rPr>
          <w:rFonts w:ascii="Arial" w:hAnsi="Arial" w:cs="Arial"/>
          <w:sz w:val="22"/>
          <w:szCs w:val="22"/>
        </w:rPr>
        <w:t xml:space="preserve"> </w:t>
      </w:r>
    </w:p>
    <w:p w:rsidR="000B7905" w:rsidRPr="00331F99" w:rsidRDefault="0070738F" w:rsidP="00D36C51">
      <w:pPr>
        <w:pStyle w:val="ListParagraph"/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 w:rsidRPr="00331F99">
        <w:rPr>
          <w:rFonts w:ascii="Arial" w:hAnsi="Arial" w:cs="Arial"/>
          <w:sz w:val="22"/>
          <w:szCs w:val="22"/>
        </w:rPr>
        <w:t>{</w:t>
      </w:r>
      <w:r w:rsidR="006920EF" w:rsidRPr="00331F99">
        <w:rPr>
          <w:rFonts w:ascii="Arial" w:hAnsi="Arial" w:cs="Arial"/>
          <w:sz w:val="22"/>
          <w:szCs w:val="22"/>
        </w:rPr>
        <w:t xml:space="preserve">Note: In addition to the licensed geotechnical </w:t>
      </w:r>
      <w:r w:rsidR="00F91382">
        <w:rPr>
          <w:rFonts w:ascii="Arial" w:hAnsi="Arial" w:cs="Arial"/>
          <w:sz w:val="22"/>
          <w:szCs w:val="22"/>
        </w:rPr>
        <w:t xml:space="preserve">or civil </w:t>
      </w:r>
      <w:r w:rsidR="006920EF" w:rsidRPr="00331F99">
        <w:rPr>
          <w:rFonts w:ascii="Arial" w:hAnsi="Arial" w:cs="Arial"/>
          <w:sz w:val="22"/>
          <w:szCs w:val="22"/>
        </w:rPr>
        <w:t>engineer, a licensed geologist is also required for properties subject to the Slope Protection Act [See SECTION (</w:t>
      </w:r>
      <w:r w:rsidR="00015E85">
        <w:rPr>
          <w:rFonts w:ascii="Arial" w:hAnsi="Arial" w:cs="Arial"/>
          <w:sz w:val="22"/>
          <w:szCs w:val="22"/>
        </w:rPr>
        <w:t>D</w:t>
      </w:r>
      <w:r w:rsidR="006920EF" w:rsidRPr="00331F99">
        <w:rPr>
          <w:rFonts w:ascii="Arial" w:hAnsi="Arial" w:cs="Arial"/>
          <w:sz w:val="22"/>
          <w:szCs w:val="22"/>
        </w:rPr>
        <w:t>)</w:t>
      </w:r>
      <w:r w:rsidR="007B4D95" w:rsidRPr="00331F99">
        <w:rPr>
          <w:rFonts w:ascii="Arial" w:hAnsi="Arial" w:cs="Arial"/>
          <w:sz w:val="22"/>
          <w:szCs w:val="22"/>
        </w:rPr>
        <w:t xml:space="preserve"> BELOW</w:t>
      </w:r>
      <w:r w:rsidRPr="00331F99">
        <w:rPr>
          <w:rFonts w:ascii="Arial" w:hAnsi="Arial" w:cs="Arial"/>
          <w:sz w:val="22"/>
          <w:szCs w:val="22"/>
        </w:rPr>
        <w:t>]</w:t>
      </w:r>
      <w:r w:rsidR="00331F99" w:rsidRPr="00331F99">
        <w:rPr>
          <w:rFonts w:ascii="Arial" w:hAnsi="Arial" w:cs="Arial"/>
          <w:sz w:val="22"/>
          <w:szCs w:val="22"/>
        </w:rPr>
        <w:t>}.</w:t>
      </w:r>
    </w:p>
    <w:p w:rsidR="00470E91" w:rsidRPr="00D624EA" w:rsidRDefault="00470E91" w:rsidP="00D36C51">
      <w:pPr>
        <w:pStyle w:val="ListParagraph"/>
        <w:widowControl/>
        <w:numPr>
          <w:ilvl w:val="0"/>
          <w:numId w:val="22"/>
        </w:numPr>
        <w:autoSpaceDE/>
        <w:autoSpaceDN/>
        <w:adjustRightInd/>
        <w:spacing w:after="120"/>
        <w:ind w:left="720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>Provide two (2) sets of original geotechnical reports</w:t>
      </w:r>
      <w:r w:rsidR="00782694" w:rsidRPr="00D624EA">
        <w:rPr>
          <w:rFonts w:ascii="Arial" w:hAnsi="Arial" w:cs="Arial"/>
          <w:sz w:val="22"/>
          <w:szCs w:val="22"/>
        </w:rPr>
        <w:t xml:space="preserve"> and one (1) CD-ROM:</w:t>
      </w:r>
    </w:p>
    <w:p w:rsidR="00470E91" w:rsidRPr="00D624EA" w:rsidRDefault="00D8432D" w:rsidP="00D36C51">
      <w:pPr>
        <w:spacing w:after="120"/>
        <w:ind w:left="720" w:hanging="36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PMingLiU" w:hAnsi="Arial" w:cs="Arial"/>
          <w:sz w:val="22"/>
          <w:szCs w:val="22"/>
          <w:lang w:eastAsia="zh-TW"/>
        </w:rPr>
        <w:t xml:space="preserve">      </w:t>
      </w:r>
      <w:r w:rsidR="00470E91" w:rsidRPr="00D624EA">
        <w:rPr>
          <w:rFonts w:ascii="Arial" w:hAnsi="Arial" w:cs="Arial"/>
          <w:sz w:val="22"/>
          <w:szCs w:val="22"/>
        </w:rPr>
        <w:t>SOILS REPORTS:  Effective November 1, 2011, DBI will no longer accept soil</w:t>
      </w:r>
      <w:r w:rsidR="00F66BFB">
        <w:rPr>
          <w:rFonts w:ascii="Arial" w:hAnsi="Arial" w:cs="Arial"/>
          <w:sz w:val="22"/>
          <w:szCs w:val="22"/>
        </w:rPr>
        <w:t>s</w:t>
      </w:r>
      <w:r w:rsidR="00470E91" w:rsidRPr="00D624EA">
        <w:rPr>
          <w:rFonts w:ascii="Arial" w:hAnsi="Arial" w:cs="Arial"/>
          <w:sz w:val="22"/>
          <w:szCs w:val="22"/>
        </w:rPr>
        <w:t xml:space="preserve"> reports solely in </w:t>
      </w:r>
      <w:r w:rsidR="00470E91" w:rsidRPr="00D624EA">
        <w:rPr>
          <w:rFonts w:ascii="Arial" w:hAnsi="Arial" w:cs="Arial"/>
          <w:sz w:val="22"/>
          <w:szCs w:val="22"/>
        </w:rPr>
        <w:lastRenderedPageBreak/>
        <w:t xml:space="preserve">“hard” copy format. </w:t>
      </w:r>
      <w:r w:rsidR="006E5A62" w:rsidRPr="00D624EA">
        <w:rPr>
          <w:rFonts w:ascii="Arial" w:hAnsi="Arial" w:cs="Arial"/>
          <w:sz w:val="22"/>
          <w:szCs w:val="22"/>
        </w:rPr>
        <w:t>T</w:t>
      </w:r>
      <w:r w:rsidR="00470E91" w:rsidRPr="00D624EA">
        <w:rPr>
          <w:rFonts w:ascii="Arial" w:hAnsi="Arial" w:cs="Arial"/>
          <w:sz w:val="22"/>
          <w:szCs w:val="22"/>
        </w:rPr>
        <w:t>wo</w:t>
      </w:r>
      <w:r w:rsidR="006E5A62" w:rsidRPr="00D624EA">
        <w:rPr>
          <w:rFonts w:ascii="Arial" w:hAnsi="Arial" w:cs="Arial"/>
          <w:sz w:val="22"/>
          <w:szCs w:val="22"/>
        </w:rPr>
        <w:t xml:space="preserve"> (2)</w:t>
      </w:r>
      <w:r w:rsidR="0070738F" w:rsidRPr="00D624EA">
        <w:rPr>
          <w:rFonts w:ascii="Arial" w:hAnsi="Arial" w:cs="Arial"/>
          <w:sz w:val="22"/>
          <w:szCs w:val="22"/>
        </w:rPr>
        <w:t xml:space="preserve"> “hard”</w:t>
      </w:r>
      <w:r w:rsidR="00470E91" w:rsidRPr="00D624EA">
        <w:rPr>
          <w:rFonts w:ascii="Arial" w:hAnsi="Arial" w:cs="Arial"/>
          <w:sz w:val="22"/>
          <w:szCs w:val="22"/>
        </w:rPr>
        <w:t xml:space="preserve"> copies and one (1) copy on a CD-ROM in Adobe ‘PDF’ format</w:t>
      </w:r>
      <w:r w:rsidR="00446533" w:rsidRPr="00D624EA">
        <w:rPr>
          <w:rFonts w:ascii="Arial" w:hAnsi="Arial" w:cs="Arial"/>
          <w:sz w:val="22"/>
          <w:szCs w:val="22"/>
        </w:rPr>
        <w:t xml:space="preserve"> are required</w:t>
      </w:r>
      <w:r w:rsidR="0070738F" w:rsidRPr="00D624EA">
        <w:rPr>
          <w:rFonts w:ascii="Arial" w:hAnsi="Arial" w:cs="Arial"/>
          <w:sz w:val="22"/>
          <w:szCs w:val="22"/>
        </w:rPr>
        <w:t>. After DBI review, one “hard”</w:t>
      </w:r>
      <w:r w:rsidR="00470E91" w:rsidRPr="00D624EA">
        <w:rPr>
          <w:rFonts w:ascii="Arial" w:hAnsi="Arial" w:cs="Arial"/>
          <w:sz w:val="22"/>
          <w:szCs w:val="22"/>
        </w:rPr>
        <w:t xml:space="preserve"> copy will be returned to the</w:t>
      </w:r>
      <w:r w:rsidR="00431980" w:rsidRPr="00D624EA">
        <w:rPr>
          <w:rFonts w:ascii="Arial" w:hAnsi="Arial" w:cs="Arial"/>
          <w:sz w:val="22"/>
          <w:szCs w:val="22"/>
        </w:rPr>
        <w:t xml:space="preserve"> applicant with a </w:t>
      </w:r>
      <w:r w:rsidR="0070738F" w:rsidRPr="00D624EA">
        <w:rPr>
          <w:rFonts w:ascii="Arial" w:hAnsi="Arial" w:cs="Arial"/>
          <w:sz w:val="22"/>
          <w:szCs w:val="22"/>
        </w:rPr>
        <w:t>‘Received’</w:t>
      </w:r>
      <w:r w:rsidR="00446533" w:rsidRPr="00D624EA">
        <w:rPr>
          <w:rFonts w:ascii="Arial" w:hAnsi="Arial" w:cs="Arial"/>
          <w:sz w:val="22"/>
          <w:szCs w:val="22"/>
        </w:rPr>
        <w:t xml:space="preserve"> stamp.</w:t>
      </w:r>
      <w:r w:rsidR="00470E91" w:rsidRPr="00D624EA">
        <w:rPr>
          <w:rFonts w:ascii="Arial" w:hAnsi="Arial" w:cs="Arial"/>
          <w:sz w:val="22"/>
          <w:szCs w:val="22"/>
        </w:rPr>
        <w:t xml:space="preserve"> DBI will retain its copy, and the CD-ROM will be sent to the State Department of Conservation, as required by </w:t>
      </w:r>
      <w:r w:rsidR="00446533" w:rsidRPr="00D624EA">
        <w:rPr>
          <w:rFonts w:ascii="Arial" w:hAnsi="Arial" w:cs="Arial"/>
          <w:sz w:val="22"/>
          <w:szCs w:val="22"/>
        </w:rPr>
        <w:t xml:space="preserve">state </w:t>
      </w:r>
      <w:r w:rsidR="0070738F" w:rsidRPr="00D624EA">
        <w:rPr>
          <w:rFonts w:ascii="Arial" w:hAnsi="Arial" w:cs="Arial"/>
          <w:sz w:val="22"/>
          <w:szCs w:val="22"/>
        </w:rPr>
        <w:t>law.</w:t>
      </w:r>
    </w:p>
    <w:p w:rsidR="00431980" w:rsidRPr="00D624EA" w:rsidRDefault="00431980" w:rsidP="00D36C51">
      <w:pPr>
        <w:pStyle w:val="ListParagraph"/>
        <w:numPr>
          <w:ilvl w:val="0"/>
          <w:numId w:val="22"/>
        </w:numPr>
        <w:spacing w:after="120"/>
        <w:ind w:left="72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24EA">
        <w:rPr>
          <w:rFonts w:ascii="Arial" w:eastAsia="PMingLiU" w:hAnsi="Arial" w:cs="Arial"/>
          <w:sz w:val="22"/>
          <w:szCs w:val="22"/>
          <w:lang w:eastAsia="zh-TW"/>
        </w:rPr>
        <w:t>Geotechnical report shall be in accordance with SFBC Section 1803.2 through Section 1803.6 and Section J104.3.</w:t>
      </w:r>
    </w:p>
    <w:p w:rsidR="00782694" w:rsidRPr="00D624EA" w:rsidRDefault="00163E77" w:rsidP="00D36C51">
      <w:pPr>
        <w:pStyle w:val="ListParagraph"/>
        <w:numPr>
          <w:ilvl w:val="0"/>
          <w:numId w:val="22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C</w:t>
      </w:r>
      <w:r w:rsidR="00841E3D" w:rsidRPr="00D624EA">
        <w:rPr>
          <w:rFonts w:ascii="Arial" w:eastAsia="PMingLiU" w:hAnsi="Arial" w:cs="Arial"/>
          <w:sz w:val="22"/>
          <w:szCs w:val="22"/>
          <w:lang w:eastAsia="zh-TW"/>
        </w:rPr>
        <w:t xml:space="preserve">ivil engineers </w:t>
      </w:r>
      <w:r w:rsidR="002300FE" w:rsidRPr="00163E77">
        <w:rPr>
          <w:rFonts w:ascii="Arial" w:eastAsia="PMingLiU" w:hAnsi="Arial" w:cs="Arial"/>
          <w:sz w:val="22"/>
          <w:szCs w:val="22"/>
          <w:lang w:eastAsia="zh-TW"/>
        </w:rPr>
        <w:t xml:space="preserve">experienced in geotechnical engineering </w:t>
      </w:r>
      <w:r w:rsidR="00841E3D" w:rsidRPr="002300FE">
        <w:rPr>
          <w:rFonts w:ascii="Arial" w:eastAsia="PMingLiU" w:hAnsi="Arial" w:cs="Arial"/>
          <w:sz w:val="22"/>
          <w:szCs w:val="22"/>
          <w:lang w:eastAsia="zh-TW"/>
        </w:rPr>
        <w:t>are</w:t>
      </w:r>
      <w:r w:rsidR="00841E3D" w:rsidRPr="00D624EA">
        <w:rPr>
          <w:rFonts w:ascii="Arial" w:eastAsia="PMingLiU" w:hAnsi="Arial" w:cs="Arial"/>
          <w:sz w:val="22"/>
          <w:szCs w:val="22"/>
          <w:lang w:eastAsia="zh-TW"/>
        </w:rPr>
        <w:t xml:space="preserve"> authorized to practice geotechnical engineering. This includes preparing</w:t>
      </w:r>
      <w:r w:rsidR="00D624EA" w:rsidRPr="00D624EA">
        <w:rPr>
          <w:rFonts w:ascii="Arial" w:eastAsia="PMingLiU" w:hAnsi="Arial" w:cs="Arial"/>
          <w:sz w:val="22"/>
          <w:szCs w:val="22"/>
          <w:lang w:eastAsia="zh-TW"/>
        </w:rPr>
        <w:t xml:space="preserve"> or reviewing</w:t>
      </w:r>
      <w:r w:rsidR="00841E3D" w:rsidRPr="00D624EA">
        <w:rPr>
          <w:rFonts w:ascii="Arial" w:eastAsia="PMingLiU" w:hAnsi="Arial" w:cs="Arial"/>
          <w:sz w:val="22"/>
          <w:szCs w:val="22"/>
          <w:lang w:eastAsia="zh-TW"/>
        </w:rPr>
        <w:t xml:space="preserve"> soils reports.</w:t>
      </w:r>
    </w:p>
    <w:p w:rsidR="00907BD9" w:rsidRDefault="00907BD9" w:rsidP="00907BD9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240" w:after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Projects for new tall buildings</w:t>
      </w:r>
    </w:p>
    <w:p w:rsidR="00907BD9" w:rsidRPr="00907BD9" w:rsidRDefault="00907BD9" w:rsidP="00907BD9">
      <w:pPr>
        <w:pStyle w:val="ListParagraph"/>
        <w:widowControl/>
        <w:autoSpaceDE/>
        <w:autoSpaceDN/>
        <w:adjustRightInd/>
        <w:spacing w:before="120" w:after="360"/>
        <w:ind w:left="540"/>
        <w:jc w:val="both"/>
        <w:rPr>
          <w:rFonts w:ascii="Arial" w:hAnsi="Arial" w:cs="Arial"/>
          <w:sz w:val="22"/>
          <w:szCs w:val="22"/>
        </w:rPr>
      </w:pPr>
      <w:r w:rsidRPr="00907BD9">
        <w:rPr>
          <w:rFonts w:ascii="Arial" w:hAnsi="Arial" w:cs="Arial"/>
          <w:sz w:val="22"/>
          <w:szCs w:val="22"/>
        </w:rPr>
        <w:t>See Information Sheet No. S-18.</w:t>
      </w:r>
    </w:p>
    <w:p w:rsidR="00AE21A4" w:rsidRPr="00636EBD" w:rsidRDefault="00AE21A4" w:rsidP="00C507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before="240" w:after="20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636EBD">
        <w:rPr>
          <w:rFonts w:ascii="Arial" w:hAnsi="Arial" w:cs="Arial"/>
          <w:b/>
          <w:sz w:val="22"/>
          <w:szCs w:val="22"/>
        </w:rPr>
        <w:t xml:space="preserve">Projects subject to the Slope </w:t>
      </w:r>
      <w:r w:rsidR="00161DB9">
        <w:rPr>
          <w:rFonts w:ascii="Arial" w:hAnsi="Arial" w:cs="Arial"/>
          <w:b/>
          <w:sz w:val="22"/>
          <w:szCs w:val="22"/>
        </w:rPr>
        <w:t xml:space="preserve">and Seismic Hazard </w:t>
      </w:r>
      <w:r w:rsidRPr="00636EBD">
        <w:rPr>
          <w:rFonts w:ascii="Arial" w:hAnsi="Arial" w:cs="Arial"/>
          <w:b/>
          <w:sz w:val="22"/>
          <w:szCs w:val="22"/>
        </w:rPr>
        <w:t>Protection Act</w:t>
      </w:r>
      <w:r w:rsidR="00B07B93" w:rsidRPr="00636EBD">
        <w:rPr>
          <w:rFonts w:ascii="Arial" w:hAnsi="Arial" w:cs="Arial"/>
          <w:b/>
          <w:sz w:val="22"/>
          <w:szCs w:val="22"/>
        </w:rPr>
        <w:t xml:space="preserve"> (SFBC Section 106A.4.1.4)</w:t>
      </w:r>
    </w:p>
    <w:p w:rsidR="00161DB9" w:rsidRDefault="00161DB9" w:rsidP="00924339">
      <w:pPr>
        <w:spacing w:after="120"/>
        <w:ind w:right="43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Information Sheet No. S-19.</w:t>
      </w:r>
    </w:p>
    <w:p w:rsidR="00161DB9" w:rsidRDefault="00161DB9" w:rsidP="001248D4">
      <w:pPr>
        <w:spacing w:after="120"/>
        <w:ind w:right="43"/>
        <w:rPr>
          <w:rFonts w:ascii="Arial" w:hAnsi="Arial" w:cs="Arial"/>
          <w:sz w:val="22"/>
          <w:szCs w:val="22"/>
        </w:rPr>
      </w:pPr>
    </w:p>
    <w:p w:rsidR="00161DB9" w:rsidRDefault="00161DB9" w:rsidP="001248D4">
      <w:pPr>
        <w:spacing w:after="120"/>
        <w:ind w:right="43"/>
        <w:rPr>
          <w:rFonts w:ascii="Arial" w:hAnsi="Arial" w:cs="Arial"/>
          <w:sz w:val="22"/>
          <w:szCs w:val="22"/>
        </w:rPr>
      </w:pPr>
    </w:p>
    <w:p w:rsidR="00161DB9" w:rsidRDefault="00161DB9" w:rsidP="001248D4">
      <w:pPr>
        <w:spacing w:after="120"/>
        <w:ind w:right="43"/>
        <w:rPr>
          <w:rFonts w:ascii="Arial" w:hAnsi="Arial" w:cs="Arial"/>
          <w:sz w:val="22"/>
          <w:szCs w:val="22"/>
        </w:rPr>
      </w:pPr>
    </w:p>
    <w:p w:rsidR="00161DB9" w:rsidRDefault="00161DB9" w:rsidP="001248D4">
      <w:pPr>
        <w:spacing w:after="120"/>
        <w:ind w:right="43"/>
        <w:rPr>
          <w:rFonts w:ascii="Arial" w:hAnsi="Arial" w:cs="Arial"/>
          <w:sz w:val="22"/>
          <w:szCs w:val="22"/>
        </w:rPr>
      </w:pPr>
    </w:p>
    <w:p w:rsidR="001248D4" w:rsidRPr="00D624EA" w:rsidRDefault="001248D4" w:rsidP="001248D4">
      <w:pPr>
        <w:spacing w:after="120"/>
        <w:ind w:right="43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>___________________________________________________</w:t>
      </w:r>
    </w:p>
    <w:p w:rsidR="001248D4" w:rsidRPr="00D624EA" w:rsidRDefault="001248D4" w:rsidP="001248D4">
      <w:pPr>
        <w:ind w:right="43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>Tom C. Hui, S.E.</w:t>
      </w:r>
      <w:r w:rsidR="009A1C68" w:rsidRPr="00D624EA">
        <w:rPr>
          <w:rFonts w:ascii="Arial" w:hAnsi="Arial" w:cs="Arial"/>
          <w:sz w:val="22"/>
          <w:szCs w:val="22"/>
          <w:lang w:eastAsia="zh-TW"/>
        </w:rPr>
        <w:t>, C.B.O.</w:t>
      </w:r>
      <w:r w:rsidRPr="00D624EA">
        <w:rPr>
          <w:rFonts w:ascii="Arial" w:hAnsi="Arial" w:cs="Arial"/>
          <w:sz w:val="22"/>
          <w:szCs w:val="22"/>
        </w:rPr>
        <w:tab/>
        <w:t xml:space="preserve">                                  Date</w:t>
      </w:r>
    </w:p>
    <w:p w:rsidR="001248D4" w:rsidRPr="00D624EA" w:rsidRDefault="001248D4" w:rsidP="001248D4">
      <w:pPr>
        <w:ind w:right="43"/>
        <w:rPr>
          <w:rFonts w:ascii="Arial" w:hAnsi="Arial" w:cs="Arial"/>
          <w:sz w:val="22"/>
          <w:szCs w:val="22"/>
        </w:rPr>
      </w:pPr>
      <w:r w:rsidRPr="00D624EA">
        <w:rPr>
          <w:rFonts w:ascii="Arial" w:hAnsi="Arial" w:cs="Arial"/>
          <w:sz w:val="22"/>
          <w:szCs w:val="22"/>
        </w:rPr>
        <w:t>Director</w:t>
      </w:r>
    </w:p>
    <w:p w:rsidR="002300FE" w:rsidRDefault="00D36C51" w:rsidP="002300FE">
      <w:pPr>
        <w:spacing w:after="240" w:line="480" w:lineRule="auto"/>
        <w:ind w:right="43"/>
        <w:rPr>
          <w:rFonts w:ascii="Arial" w:hAnsi="Arial" w:cs="Arial"/>
          <w:sz w:val="22"/>
          <w:szCs w:val="22"/>
          <w:lang w:eastAsia="zh-TW"/>
        </w:rPr>
      </w:pPr>
      <w:r w:rsidRPr="004B4C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50A32" wp14:editId="3904EF24">
                <wp:simplePos x="0" y="0"/>
                <wp:positionH relativeFrom="margin">
                  <wp:posOffset>352425</wp:posOffset>
                </wp:positionH>
                <wp:positionV relativeFrom="paragraph">
                  <wp:posOffset>1195629</wp:posOffset>
                </wp:positionV>
                <wp:extent cx="5854700" cy="48069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F1" w:rsidRPr="00163E77" w:rsidRDefault="00CB63F1" w:rsidP="00D36C51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63E7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0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94.15pt;width:461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+QKw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">
                <v:textbox>
                  <w:txbxContent>
                    <w:p w:rsidR="00CB63F1" w:rsidRPr="00163E77" w:rsidRDefault="00CB63F1" w:rsidP="00D36C51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163E7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8D4" w:rsidRPr="00D624EA">
        <w:rPr>
          <w:rFonts w:ascii="Arial" w:hAnsi="Arial" w:cs="Arial"/>
          <w:sz w:val="22"/>
          <w:szCs w:val="22"/>
        </w:rPr>
        <w:t>Department of Building Inspection</w:t>
      </w:r>
    </w:p>
    <w:sectPr w:rsidR="002300FE" w:rsidSect="00D01B4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080" w:right="1080" w:bottom="1080" w:left="108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6A" w:rsidRDefault="00A4606A">
      <w:r>
        <w:separator/>
      </w:r>
    </w:p>
  </w:endnote>
  <w:endnote w:type="continuationSeparator" w:id="0">
    <w:p w:rsidR="00A4606A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F1" w:rsidRPr="00BF090A" w:rsidRDefault="00CB63F1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BF090A">
      <w:rPr>
        <w:rFonts w:ascii="Arial" w:hAnsi="Arial" w:cs="Arial"/>
        <w:sz w:val="22"/>
        <w:szCs w:val="22"/>
      </w:rPr>
      <w:t xml:space="preserve">Page </w:t>
    </w:r>
    <w:r w:rsidRPr="00BF090A">
      <w:rPr>
        <w:rFonts w:ascii="Arial" w:hAnsi="Arial" w:cs="Arial"/>
        <w:sz w:val="22"/>
        <w:szCs w:val="22"/>
      </w:rPr>
      <w:fldChar w:fldCharType="begin"/>
    </w:r>
    <w:r w:rsidRPr="00BF090A">
      <w:rPr>
        <w:rFonts w:ascii="Arial" w:hAnsi="Arial" w:cs="Arial"/>
        <w:sz w:val="22"/>
        <w:szCs w:val="22"/>
      </w:rPr>
      <w:instrText xml:space="preserve"> PAGE </w:instrText>
    </w:r>
    <w:r w:rsidRPr="00BF090A">
      <w:rPr>
        <w:rFonts w:ascii="Arial" w:hAnsi="Arial" w:cs="Arial"/>
        <w:sz w:val="22"/>
        <w:szCs w:val="22"/>
      </w:rPr>
      <w:fldChar w:fldCharType="separate"/>
    </w:r>
    <w:r w:rsidR="008455DB">
      <w:rPr>
        <w:rFonts w:ascii="Arial" w:hAnsi="Arial" w:cs="Arial"/>
        <w:noProof/>
        <w:sz w:val="22"/>
        <w:szCs w:val="22"/>
      </w:rPr>
      <w:t>3</w:t>
    </w:r>
    <w:r w:rsidRPr="00BF090A">
      <w:rPr>
        <w:rFonts w:ascii="Arial" w:hAnsi="Arial" w:cs="Arial"/>
        <w:sz w:val="22"/>
        <w:szCs w:val="22"/>
      </w:rPr>
      <w:fldChar w:fldCharType="end"/>
    </w:r>
    <w:r w:rsidRPr="00BF090A">
      <w:rPr>
        <w:rFonts w:ascii="Arial" w:hAnsi="Arial" w:cs="Arial"/>
        <w:sz w:val="22"/>
        <w:szCs w:val="22"/>
      </w:rPr>
      <w:t xml:space="preserve"> of </w:t>
    </w:r>
    <w:r w:rsidRPr="00BF090A">
      <w:rPr>
        <w:rFonts w:ascii="Arial" w:hAnsi="Arial" w:cs="Arial"/>
        <w:sz w:val="22"/>
        <w:szCs w:val="22"/>
      </w:rPr>
      <w:fldChar w:fldCharType="begin"/>
    </w:r>
    <w:r w:rsidRPr="00BF090A">
      <w:rPr>
        <w:rFonts w:ascii="Arial" w:hAnsi="Arial" w:cs="Arial"/>
        <w:sz w:val="22"/>
        <w:szCs w:val="22"/>
      </w:rPr>
      <w:instrText xml:space="preserve"> NUMPAGES  </w:instrText>
    </w:r>
    <w:r w:rsidRPr="00BF090A">
      <w:rPr>
        <w:rFonts w:ascii="Arial" w:hAnsi="Arial" w:cs="Arial"/>
        <w:sz w:val="22"/>
        <w:szCs w:val="22"/>
      </w:rPr>
      <w:fldChar w:fldCharType="separate"/>
    </w:r>
    <w:r w:rsidR="008455DB">
      <w:rPr>
        <w:rFonts w:ascii="Arial" w:hAnsi="Arial" w:cs="Arial"/>
        <w:noProof/>
        <w:sz w:val="22"/>
        <w:szCs w:val="22"/>
      </w:rPr>
      <w:t>3</w:t>
    </w:r>
    <w:r w:rsidRPr="00BF090A">
      <w:rPr>
        <w:rFonts w:ascii="Arial" w:hAnsi="Arial" w:cs="Arial"/>
        <w:sz w:val="22"/>
        <w:szCs w:val="22"/>
      </w:rPr>
      <w:fldChar w:fldCharType="end"/>
    </w:r>
  </w:p>
  <w:p w:rsidR="00CB63F1" w:rsidRPr="00BF090A" w:rsidRDefault="00CB63F1" w:rsidP="00FE2597">
    <w:pPr>
      <w:pStyle w:val="Footer"/>
      <w:tabs>
        <w:tab w:val="clear" w:pos="8640"/>
        <w:tab w:val="right" w:pos="10080"/>
      </w:tabs>
      <w:jc w:val="center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F1" w:rsidRPr="00814AFB" w:rsidRDefault="00CB63F1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sz w:val="16"/>
        <w:szCs w:val="16"/>
      </w:rPr>
    </w:pPr>
  </w:p>
  <w:p w:rsidR="00CB63F1" w:rsidRPr="00D84C37" w:rsidRDefault="00CB63F1" w:rsidP="00D724C0">
    <w:pPr>
      <w:pStyle w:val="Footer"/>
      <w:jc w:val="center"/>
      <w:rPr>
        <w:rFonts w:ascii="Arial" w:hAnsi="Arial" w:cs="Arial"/>
        <w:b/>
        <w:bCs/>
        <w:sz w:val="22"/>
      </w:rPr>
    </w:pPr>
    <w:r w:rsidRPr="00D84C37">
      <w:rPr>
        <w:rFonts w:ascii="Arial" w:hAnsi="Arial" w:cs="Arial"/>
        <w:b/>
        <w:bCs/>
        <w:sz w:val="22"/>
      </w:rPr>
      <w:t>Technical Services Division</w:t>
    </w:r>
  </w:p>
  <w:p w:rsidR="00CB63F1" w:rsidRPr="00D84C37" w:rsidRDefault="00CB63F1" w:rsidP="00D724C0">
    <w:pPr>
      <w:pStyle w:val="Footer"/>
      <w:jc w:val="center"/>
      <w:rPr>
        <w:rFonts w:ascii="Arial" w:hAnsi="Arial" w:cs="Arial"/>
        <w:b/>
        <w:bCs/>
        <w:sz w:val="18"/>
      </w:rPr>
    </w:pPr>
    <w:smartTag w:uri="urn:schemas-microsoft-com:office:smarttags" w:element="Street">
      <w:smartTag w:uri="urn:schemas-microsoft-com:office:smarttags" w:element="address">
        <w:r w:rsidRPr="00D84C37">
          <w:rPr>
            <w:rFonts w:ascii="Arial" w:hAnsi="Arial" w:cs="Arial"/>
            <w:b/>
            <w:bCs/>
            <w:sz w:val="18"/>
          </w:rPr>
          <w:t>1660 Mission Street</w:t>
        </w:r>
      </w:smartTag>
    </w:smartTag>
    <w:r w:rsidRPr="00D84C37">
      <w:rPr>
        <w:rFonts w:ascii="Arial" w:hAnsi="Arial" w:cs="Arial"/>
        <w:b/>
        <w:bCs/>
        <w:sz w:val="18"/>
      </w:rPr>
      <w:t xml:space="preserve"> – </w:t>
    </w:r>
    <w:smartTag w:uri="urn:schemas-microsoft-com:office:smarttags" w:element="place">
      <w:smartTag w:uri="urn:schemas-microsoft-com:office:smarttags" w:element="City">
        <w:r w:rsidRPr="00D84C37">
          <w:rPr>
            <w:rFonts w:ascii="Arial" w:hAnsi="Arial" w:cs="Arial"/>
            <w:b/>
            <w:bCs/>
            <w:sz w:val="18"/>
          </w:rPr>
          <w:t>San Francisco</w:t>
        </w:r>
      </w:smartTag>
      <w:r w:rsidRPr="00D84C37">
        <w:rPr>
          <w:rFonts w:ascii="Arial" w:hAnsi="Arial" w:cs="Arial"/>
          <w:b/>
          <w:bCs/>
          <w:sz w:val="18"/>
        </w:rPr>
        <w:t xml:space="preserve"> </w:t>
      </w:r>
      <w:smartTag w:uri="urn:schemas-microsoft-com:office:smarttags" w:element="State">
        <w:r w:rsidRPr="00D84C37">
          <w:rPr>
            <w:rFonts w:ascii="Arial" w:hAnsi="Arial" w:cs="Arial"/>
            <w:b/>
            <w:bCs/>
            <w:sz w:val="18"/>
          </w:rPr>
          <w:t>CA</w:t>
        </w:r>
      </w:smartTag>
      <w:r w:rsidRPr="00D84C37">
        <w:rPr>
          <w:rFonts w:ascii="Arial" w:hAnsi="Arial" w:cs="Arial"/>
          <w:b/>
          <w:bCs/>
          <w:sz w:val="18"/>
        </w:rPr>
        <w:t xml:space="preserve"> </w:t>
      </w:r>
      <w:smartTag w:uri="urn:schemas-microsoft-com:office:smarttags" w:element="PostalCode">
        <w:r w:rsidRPr="00D84C37">
          <w:rPr>
            <w:rFonts w:ascii="Arial" w:hAnsi="Arial" w:cs="Arial"/>
            <w:b/>
            <w:bCs/>
            <w:sz w:val="18"/>
          </w:rPr>
          <w:t>94103</w:t>
        </w:r>
      </w:smartTag>
    </w:smartTag>
  </w:p>
  <w:p w:rsidR="00CB63F1" w:rsidRPr="00D84C37" w:rsidRDefault="00CB63F1" w:rsidP="00D724C0">
    <w:pPr>
      <w:pStyle w:val="Footer"/>
      <w:jc w:val="center"/>
      <w:rPr>
        <w:rFonts w:ascii="Arial" w:hAnsi="Arial" w:cs="Arial"/>
        <w:sz w:val="22"/>
      </w:rPr>
    </w:pPr>
    <w:r w:rsidRPr="00D84C37">
      <w:rPr>
        <w:rFonts w:ascii="Arial" w:hAnsi="Arial" w:cs="Arial"/>
        <w:b/>
        <w:bCs/>
        <w:sz w:val="18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6A" w:rsidRDefault="00A4606A">
      <w:r>
        <w:separator/>
      </w:r>
    </w:p>
  </w:footnote>
  <w:footnote w:type="continuationSeparator" w:id="0">
    <w:p w:rsidR="00A4606A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F1" w:rsidRDefault="00CB63F1" w:rsidP="00D84C37">
    <w:pPr>
      <w:pStyle w:val="Header"/>
      <w:tabs>
        <w:tab w:val="clear" w:pos="86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S-0</w:t>
    </w:r>
    <w:r>
      <w:rPr>
        <w:rFonts w:ascii="Arial" w:eastAsia="PMingLiU" w:hAnsi="Arial" w:cs="Arial" w:hint="eastAsia"/>
        <w:sz w:val="22"/>
        <w:szCs w:val="22"/>
        <w:lang w:eastAsia="zh-TW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524"/>
      <w:gridCol w:w="2812"/>
      <w:gridCol w:w="3744"/>
    </w:tblGrid>
    <w:tr w:rsidR="00854212" w:rsidRPr="00854212" w:rsidTr="00854212">
      <w:trPr>
        <w:trHeight w:val="1710"/>
        <w:jc w:val="center"/>
      </w:trPr>
      <w:tc>
        <w:tcPr>
          <w:tcW w:w="3625" w:type="dxa"/>
          <w:vAlign w:val="center"/>
          <w:hideMark/>
        </w:tcPr>
        <w:p w:rsidR="00854212" w:rsidRPr="00854212" w:rsidRDefault="00854212" w:rsidP="00854212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854212">
            <w:rPr>
              <w:rFonts w:ascii="Arial" w:eastAsia="Times New Roman" w:hAnsi="Arial"/>
              <w:b/>
              <w:sz w:val="20"/>
              <w:szCs w:val="20"/>
            </w:rPr>
            <w:t>City and County of San Francisco</w:t>
          </w:r>
        </w:p>
        <w:p w:rsidR="00854212" w:rsidRPr="00854212" w:rsidRDefault="00854212" w:rsidP="00854212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854212">
            <w:rPr>
              <w:rFonts w:ascii="Arial" w:eastAsia="Times New Roman" w:hAnsi="Arial"/>
              <w:b/>
              <w:sz w:val="20"/>
              <w:szCs w:val="20"/>
            </w:rPr>
            <w:t>Department of Building Inspection</w:t>
          </w:r>
        </w:p>
      </w:tc>
      <w:tc>
        <w:tcPr>
          <w:tcW w:w="2853" w:type="dxa"/>
          <w:hideMark/>
        </w:tcPr>
        <w:p w:rsidR="00854212" w:rsidRPr="00854212" w:rsidRDefault="00854212" w:rsidP="00854212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rPr>
              <w:rFonts w:ascii="Arial" w:eastAsia="Times New Roman" w:hAnsi="Arial"/>
              <w:bCs/>
            </w:rPr>
          </w:pPr>
          <w:r w:rsidRPr="00854212">
            <w:rPr>
              <w:rFonts w:ascii="Arial" w:eastAsia="Times New Roman" w:hAnsi="Arial"/>
              <w:bCs/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495F2D35" wp14:editId="63561ACD">
                <wp:simplePos x="0" y="0"/>
                <wp:positionH relativeFrom="column">
                  <wp:posOffset>573405</wp:posOffset>
                </wp:positionH>
                <wp:positionV relativeFrom="paragraph">
                  <wp:posOffset>28575</wp:posOffset>
                </wp:positionV>
                <wp:extent cx="1066800" cy="1047750"/>
                <wp:effectExtent l="19050" t="0" r="0" b="0"/>
                <wp:wrapSquare wrapText="bothSides"/>
                <wp:docPr id="5" name="Picture 5" descr="SF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  <w:vAlign w:val="center"/>
          <w:hideMark/>
        </w:tcPr>
        <w:p w:rsidR="00854212" w:rsidRPr="00854212" w:rsidRDefault="00854212" w:rsidP="00854212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/>
              <w:sz w:val="20"/>
              <w:szCs w:val="20"/>
            </w:rPr>
          </w:pPr>
          <w:r w:rsidRPr="00854212">
            <w:rPr>
              <w:rFonts w:ascii="Arial" w:eastAsia="Times New Roman" w:hAnsi="Arial"/>
              <w:b/>
              <w:sz w:val="20"/>
              <w:szCs w:val="20"/>
            </w:rPr>
            <w:t xml:space="preserve">London N. Breed, Mayor  </w:t>
          </w:r>
        </w:p>
        <w:p w:rsidR="00854212" w:rsidRPr="00854212" w:rsidRDefault="00854212" w:rsidP="00854212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Cs/>
            </w:rPr>
          </w:pPr>
          <w:r w:rsidRPr="00854212">
            <w:rPr>
              <w:rFonts w:ascii="Arial" w:eastAsia="Times New Roman" w:hAnsi="Arial"/>
              <w:b/>
              <w:sz w:val="20"/>
              <w:szCs w:val="20"/>
            </w:rPr>
            <w:t>Tom C. Hui, S.E., C.B.O., Director</w:t>
          </w:r>
        </w:p>
      </w:tc>
    </w:tr>
  </w:tbl>
  <w:p w:rsidR="00CB63F1" w:rsidRPr="00D84C37" w:rsidRDefault="00CB63F1" w:rsidP="00D8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2565"/>
    <w:multiLevelType w:val="hybridMultilevel"/>
    <w:tmpl w:val="36D88B14"/>
    <w:lvl w:ilvl="0" w:tplc="AC585444">
      <w:start w:val="1"/>
      <w:numFmt w:val="decimal"/>
      <w:lvlText w:val="%1."/>
      <w:lvlJc w:val="left"/>
      <w:pPr>
        <w:ind w:left="10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1C2871DF"/>
    <w:multiLevelType w:val="hybridMultilevel"/>
    <w:tmpl w:val="6F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20BAFE">
      <w:start w:val="1"/>
      <w:numFmt w:val="lowerLetter"/>
      <w:lvlText w:val="%2)"/>
      <w:lvlJc w:val="left"/>
      <w:pPr>
        <w:ind w:left="1575" w:hanging="495"/>
      </w:pPr>
      <w:rPr>
        <w:rFonts w:eastAsia="PMingLiU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27AE"/>
    <w:multiLevelType w:val="hybridMultilevel"/>
    <w:tmpl w:val="52D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671C"/>
    <w:multiLevelType w:val="hybridMultilevel"/>
    <w:tmpl w:val="4D3C6BB4"/>
    <w:lvl w:ilvl="0" w:tplc="6E4A87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A049B"/>
    <w:multiLevelType w:val="hybridMultilevel"/>
    <w:tmpl w:val="6C12797E"/>
    <w:lvl w:ilvl="0" w:tplc="08F038E0">
      <w:start w:val="1"/>
      <w:numFmt w:val="upperLetter"/>
      <w:lvlText w:val="(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2797"/>
    <w:multiLevelType w:val="hybridMultilevel"/>
    <w:tmpl w:val="E4B0DC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F84B07"/>
    <w:multiLevelType w:val="hybridMultilevel"/>
    <w:tmpl w:val="EC4E2F50"/>
    <w:lvl w:ilvl="0" w:tplc="3C7606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3D5B"/>
    <w:multiLevelType w:val="hybridMultilevel"/>
    <w:tmpl w:val="8AEE5BE4"/>
    <w:lvl w:ilvl="0" w:tplc="0BC28E7A">
      <w:start w:val="4"/>
      <w:numFmt w:val="decimal"/>
      <w:lvlText w:val="%1."/>
      <w:lvlJc w:val="left"/>
      <w:pPr>
        <w:tabs>
          <w:tab w:val="num" w:pos="855"/>
        </w:tabs>
        <w:ind w:left="855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60598"/>
    <w:multiLevelType w:val="hybridMultilevel"/>
    <w:tmpl w:val="DEAE78E8"/>
    <w:lvl w:ilvl="0" w:tplc="0212BAF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0E821FE"/>
    <w:multiLevelType w:val="hybridMultilevel"/>
    <w:tmpl w:val="C9B253B4"/>
    <w:lvl w:ilvl="0" w:tplc="1F6E1CC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067A6"/>
    <w:multiLevelType w:val="hybridMultilevel"/>
    <w:tmpl w:val="D6DE7E4C"/>
    <w:lvl w:ilvl="0" w:tplc="028E3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7BFF"/>
    <w:multiLevelType w:val="hybridMultilevel"/>
    <w:tmpl w:val="A0E2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B6FE2"/>
    <w:multiLevelType w:val="hybridMultilevel"/>
    <w:tmpl w:val="1BA6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7FF9"/>
    <w:multiLevelType w:val="hybridMultilevel"/>
    <w:tmpl w:val="D3DAEA3C"/>
    <w:lvl w:ilvl="0" w:tplc="FF5063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700"/>
    <w:multiLevelType w:val="hybridMultilevel"/>
    <w:tmpl w:val="EAECF2BC"/>
    <w:lvl w:ilvl="0" w:tplc="2028E3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0806454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4B8F"/>
    <w:multiLevelType w:val="hybridMultilevel"/>
    <w:tmpl w:val="E4B6D1D0"/>
    <w:lvl w:ilvl="0" w:tplc="9DC63D74">
      <w:start w:val="4"/>
      <w:numFmt w:val="lowerLetter"/>
      <w:lvlText w:val="(%1)"/>
      <w:lvlJc w:val="left"/>
      <w:pPr>
        <w:ind w:left="63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4BED"/>
    <w:multiLevelType w:val="hybridMultilevel"/>
    <w:tmpl w:val="C10C883C"/>
    <w:lvl w:ilvl="0" w:tplc="08F038E0">
      <w:start w:val="1"/>
      <w:numFmt w:val="upperLetter"/>
      <w:lvlText w:val="(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5B7F"/>
    <w:multiLevelType w:val="hybridMultilevel"/>
    <w:tmpl w:val="13A26B18"/>
    <w:lvl w:ilvl="0" w:tplc="FB78B8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6B9B"/>
    <w:multiLevelType w:val="hybridMultilevel"/>
    <w:tmpl w:val="6C12797E"/>
    <w:lvl w:ilvl="0" w:tplc="08F038E0">
      <w:start w:val="1"/>
      <w:numFmt w:val="upperLetter"/>
      <w:lvlText w:val="(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24"/>
  </w:num>
  <w:num w:numId="7">
    <w:abstractNumId w:val="13"/>
  </w:num>
  <w:num w:numId="8">
    <w:abstractNumId w:val="27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7"/>
  </w:num>
  <w:num w:numId="14">
    <w:abstractNumId w:val="21"/>
  </w:num>
  <w:num w:numId="15">
    <w:abstractNumId w:val="17"/>
  </w:num>
  <w:num w:numId="16">
    <w:abstractNumId w:val="15"/>
  </w:num>
  <w:num w:numId="17">
    <w:abstractNumId w:val="26"/>
  </w:num>
  <w:num w:numId="18">
    <w:abstractNumId w:val="9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2"/>
  </w:num>
  <w:num w:numId="23">
    <w:abstractNumId w:val="28"/>
  </w:num>
  <w:num w:numId="24">
    <w:abstractNumId w:val="8"/>
  </w:num>
  <w:num w:numId="25">
    <w:abstractNumId w:val="19"/>
  </w:num>
  <w:num w:numId="26">
    <w:abstractNumId w:val="10"/>
  </w:num>
  <w:num w:numId="27">
    <w:abstractNumId w:val="4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N8/PgTNEa4TW88UAvgeB1yumlg6AttDvYNWMJKuLJ+xRaeOEVHUn91hfKQo+BHsY8rCK3Nn+tz9YPp5YIDfMA==" w:salt="jKIQnC72+1wyYRC3D68M2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5F4D"/>
    <w:rsid w:val="00015E85"/>
    <w:rsid w:val="00020724"/>
    <w:rsid w:val="00022346"/>
    <w:rsid w:val="00025906"/>
    <w:rsid w:val="00026374"/>
    <w:rsid w:val="000344B9"/>
    <w:rsid w:val="00034990"/>
    <w:rsid w:val="000418C3"/>
    <w:rsid w:val="00052219"/>
    <w:rsid w:val="0005722B"/>
    <w:rsid w:val="0006095A"/>
    <w:rsid w:val="00065FFC"/>
    <w:rsid w:val="00084249"/>
    <w:rsid w:val="000848C2"/>
    <w:rsid w:val="00086025"/>
    <w:rsid w:val="00094331"/>
    <w:rsid w:val="000946F2"/>
    <w:rsid w:val="000B1CF7"/>
    <w:rsid w:val="000B2444"/>
    <w:rsid w:val="000B3AC2"/>
    <w:rsid w:val="000B7905"/>
    <w:rsid w:val="000D0A87"/>
    <w:rsid w:val="000E1B6C"/>
    <w:rsid w:val="000E1E67"/>
    <w:rsid w:val="000E24A4"/>
    <w:rsid w:val="000F3492"/>
    <w:rsid w:val="000F7575"/>
    <w:rsid w:val="001045AC"/>
    <w:rsid w:val="00106252"/>
    <w:rsid w:val="00111882"/>
    <w:rsid w:val="00116325"/>
    <w:rsid w:val="001248D4"/>
    <w:rsid w:val="00125904"/>
    <w:rsid w:val="00127A18"/>
    <w:rsid w:val="0013188F"/>
    <w:rsid w:val="00133E9A"/>
    <w:rsid w:val="001418FC"/>
    <w:rsid w:val="00142513"/>
    <w:rsid w:val="00150E5F"/>
    <w:rsid w:val="00156EEC"/>
    <w:rsid w:val="00161DB9"/>
    <w:rsid w:val="001635EF"/>
    <w:rsid w:val="00163E77"/>
    <w:rsid w:val="0018279F"/>
    <w:rsid w:val="0018514E"/>
    <w:rsid w:val="00191E89"/>
    <w:rsid w:val="00194AF1"/>
    <w:rsid w:val="001A0F07"/>
    <w:rsid w:val="001A0F6E"/>
    <w:rsid w:val="001A6A81"/>
    <w:rsid w:val="001B09CD"/>
    <w:rsid w:val="001B1322"/>
    <w:rsid w:val="001B318A"/>
    <w:rsid w:val="001B6C59"/>
    <w:rsid w:val="001D1BA4"/>
    <w:rsid w:val="001D2605"/>
    <w:rsid w:val="001E3D9C"/>
    <w:rsid w:val="001F798C"/>
    <w:rsid w:val="00203A2A"/>
    <w:rsid w:val="002142BA"/>
    <w:rsid w:val="00214F6C"/>
    <w:rsid w:val="002151EB"/>
    <w:rsid w:val="00223E0A"/>
    <w:rsid w:val="002241B4"/>
    <w:rsid w:val="002300FE"/>
    <w:rsid w:val="00242A83"/>
    <w:rsid w:val="00242FEB"/>
    <w:rsid w:val="00250230"/>
    <w:rsid w:val="002533F5"/>
    <w:rsid w:val="00253F8F"/>
    <w:rsid w:val="002544D3"/>
    <w:rsid w:val="002736B8"/>
    <w:rsid w:val="002752BE"/>
    <w:rsid w:val="00276AA6"/>
    <w:rsid w:val="00276C89"/>
    <w:rsid w:val="00281238"/>
    <w:rsid w:val="00285C35"/>
    <w:rsid w:val="00286801"/>
    <w:rsid w:val="00297FE6"/>
    <w:rsid w:val="002A0C5F"/>
    <w:rsid w:val="002A122E"/>
    <w:rsid w:val="002C50FD"/>
    <w:rsid w:val="002D2FC1"/>
    <w:rsid w:val="002D476D"/>
    <w:rsid w:val="002F4872"/>
    <w:rsid w:val="002F7573"/>
    <w:rsid w:val="00304580"/>
    <w:rsid w:val="003134F5"/>
    <w:rsid w:val="00313ED1"/>
    <w:rsid w:val="003179D2"/>
    <w:rsid w:val="00320929"/>
    <w:rsid w:val="00331F99"/>
    <w:rsid w:val="0033357C"/>
    <w:rsid w:val="00340335"/>
    <w:rsid w:val="00351705"/>
    <w:rsid w:val="0035266B"/>
    <w:rsid w:val="00353C67"/>
    <w:rsid w:val="00372028"/>
    <w:rsid w:val="003731BC"/>
    <w:rsid w:val="00382FAF"/>
    <w:rsid w:val="00386B61"/>
    <w:rsid w:val="003A680B"/>
    <w:rsid w:val="003B27DC"/>
    <w:rsid w:val="003B2C69"/>
    <w:rsid w:val="003B4801"/>
    <w:rsid w:val="003B68BB"/>
    <w:rsid w:val="003C356E"/>
    <w:rsid w:val="003C5094"/>
    <w:rsid w:val="003C7FEE"/>
    <w:rsid w:val="003D1398"/>
    <w:rsid w:val="003E2B02"/>
    <w:rsid w:val="003E34C0"/>
    <w:rsid w:val="003E452B"/>
    <w:rsid w:val="003E4DF6"/>
    <w:rsid w:val="003F18FF"/>
    <w:rsid w:val="003F435A"/>
    <w:rsid w:val="003F5028"/>
    <w:rsid w:val="003F5761"/>
    <w:rsid w:val="004021CB"/>
    <w:rsid w:val="00406A0A"/>
    <w:rsid w:val="004239F0"/>
    <w:rsid w:val="00431980"/>
    <w:rsid w:val="004345CA"/>
    <w:rsid w:val="00446533"/>
    <w:rsid w:val="00446EBF"/>
    <w:rsid w:val="00452DE4"/>
    <w:rsid w:val="00453B8A"/>
    <w:rsid w:val="00456D43"/>
    <w:rsid w:val="00460A9C"/>
    <w:rsid w:val="0046624F"/>
    <w:rsid w:val="00470C95"/>
    <w:rsid w:val="00470E91"/>
    <w:rsid w:val="00470EEA"/>
    <w:rsid w:val="004760BE"/>
    <w:rsid w:val="00477A71"/>
    <w:rsid w:val="00484210"/>
    <w:rsid w:val="00485AD7"/>
    <w:rsid w:val="00487D0A"/>
    <w:rsid w:val="00493CC5"/>
    <w:rsid w:val="00496914"/>
    <w:rsid w:val="004A3A04"/>
    <w:rsid w:val="004A5A82"/>
    <w:rsid w:val="004B05FD"/>
    <w:rsid w:val="004B4CCB"/>
    <w:rsid w:val="004C1C73"/>
    <w:rsid w:val="004C1CAC"/>
    <w:rsid w:val="004C3F52"/>
    <w:rsid w:val="004D41E5"/>
    <w:rsid w:val="004D6850"/>
    <w:rsid w:val="004E1516"/>
    <w:rsid w:val="004E4238"/>
    <w:rsid w:val="004E77A1"/>
    <w:rsid w:val="00506382"/>
    <w:rsid w:val="00507F6C"/>
    <w:rsid w:val="005163C0"/>
    <w:rsid w:val="0052503F"/>
    <w:rsid w:val="00530039"/>
    <w:rsid w:val="005301B0"/>
    <w:rsid w:val="005317BF"/>
    <w:rsid w:val="00544512"/>
    <w:rsid w:val="00557E87"/>
    <w:rsid w:val="005643AE"/>
    <w:rsid w:val="00566381"/>
    <w:rsid w:val="00566CB5"/>
    <w:rsid w:val="00566F4B"/>
    <w:rsid w:val="00572396"/>
    <w:rsid w:val="0058014E"/>
    <w:rsid w:val="00586525"/>
    <w:rsid w:val="005910C1"/>
    <w:rsid w:val="005917F8"/>
    <w:rsid w:val="00593892"/>
    <w:rsid w:val="00597B89"/>
    <w:rsid w:val="005A279D"/>
    <w:rsid w:val="005D28D1"/>
    <w:rsid w:val="005D6AE0"/>
    <w:rsid w:val="005E2B98"/>
    <w:rsid w:val="005E5E41"/>
    <w:rsid w:val="005F6E60"/>
    <w:rsid w:val="00604743"/>
    <w:rsid w:val="00605949"/>
    <w:rsid w:val="006061F0"/>
    <w:rsid w:val="00615300"/>
    <w:rsid w:val="00623A96"/>
    <w:rsid w:val="0063326F"/>
    <w:rsid w:val="00636EBD"/>
    <w:rsid w:val="00642B8D"/>
    <w:rsid w:val="0064372F"/>
    <w:rsid w:val="00645A43"/>
    <w:rsid w:val="00657070"/>
    <w:rsid w:val="0066614F"/>
    <w:rsid w:val="00670353"/>
    <w:rsid w:val="00671715"/>
    <w:rsid w:val="00691520"/>
    <w:rsid w:val="006920EF"/>
    <w:rsid w:val="00692385"/>
    <w:rsid w:val="00692B6B"/>
    <w:rsid w:val="006A0834"/>
    <w:rsid w:val="006A3973"/>
    <w:rsid w:val="006A4593"/>
    <w:rsid w:val="006B6B6D"/>
    <w:rsid w:val="006D2935"/>
    <w:rsid w:val="006E5A62"/>
    <w:rsid w:val="006F66B6"/>
    <w:rsid w:val="00701B33"/>
    <w:rsid w:val="00701D1F"/>
    <w:rsid w:val="0070738F"/>
    <w:rsid w:val="00712DFA"/>
    <w:rsid w:val="00714505"/>
    <w:rsid w:val="007168C9"/>
    <w:rsid w:val="00717A1F"/>
    <w:rsid w:val="00725224"/>
    <w:rsid w:val="00734492"/>
    <w:rsid w:val="00746C3F"/>
    <w:rsid w:val="00751D54"/>
    <w:rsid w:val="00752B11"/>
    <w:rsid w:val="00757701"/>
    <w:rsid w:val="007579C5"/>
    <w:rsid w:val="00770C60"/>
    <w:rsid w:val="00782694"/>
    <w:rsid w:val="007844E6"/>
    <w:rsid w:val="00794C66"/>
    <w:rsid w:val="00795409"/>
    <w:rsid w:val="007A224C"/>
    <w:rsid w:val="007A47BD"/>
    <w:rsid w:val="007A54E7"/>
    <w:rsid w:val="007B235F"/>
    <w:rsid w:val="007B26F2"/>
    <w:rsid w:val="007B3667"/>
    <w:rsid w:val="007B45C7"/>
    <w:rsid w:val="007B4D95"/>
    <w:rsid w:val="007B6B76"/>
    <w:rsid w:val="007C48AD"/>
    <w:rsid w:val="007C5E08"/>
    <w:rsid w:val="007C6AD7"/>
    <w:rsid w:val="007D14BC"/>
    <w:rsid w:val="007D40BC"/>
    <w:rsid w:val="007D6057"/>
    <w:rsid w:val="007D722F"/>
    <w:rsid w:val="007E0426"/>
    <w:rsid w:val="007E2679"/>
    <w:rsid w:val="007E46CF"/>
    <w:rsid w:val="007E5FD3"/>
    <w:rsid w:val="007E64C4"/>
    <w:rsid w:val="007F1701"/>
    <w:rsid w:val="007F4B22"/>
    <w:rsid w:val="007F6A43"/>
    <w:rsid w:val="00801765"/>
    <w:rsid w:val="008105AF"/>
    <w:rsid w:val="00814AFB"/>
    <w:rsid w:val="00816011"/>
    <w:rsid w:val="00816630"/>
    <w:rsid w:val="00817595"/>
    <w:rsid w:val="008226C9"/>
    <w:rsid w:val="0083575F"/>
    <w:rsid w:val="00836DF7"/>
    <w:rsid w:val="00841E3D"/>
    <w:rsid w:val="00843CAF"/>
    <w:rsid w:val="008444E5"/>
    <w:rsid w:val="008455DB"/>
    <w:rsid w:val="00846821"/>
    <w:rsid w:val="0085077C"/>
    <w:rsid w:val="00854212"/>
    <w:rsid w:val="00860E23"/>
    <w:rsid w:val="00872AD3"/>
    <w:rsid w:val="00874AA5"/>
    <w:rsid w:val="00874B3C"/>
    <w:rsid w:val="00895DEA"/>
    <w:rsid w:val="008A37CB"/>
    <w:rsid w:val="008A45A4"/>
    <w:rsid w:val="008B160B"/>
    <w:rsid w:val="008B1737"/>
    <w:rsid w:val="008B55BF"/>
    <w:rsid w:val="008D56C9"/>
    <w:rsid w:val="008D6015"/>
    <w:rsid w:val="008D7250"/>
    <w:rsid w:val="008E5645"/>
    <w:rsid w:val="008F11F4"/>
    <w:rsid w:val="008F4B89"/>
    <w:rsid w:val="00907BD9"/>
    <w:rsid w:val="00913BFB"/>
    <w:rsid w:val="00922FD3"/>
    <w:rsid w:val="00924339"/>
    <w:rsid w:val="00924521"/>
    <w:rsid w:val="0093418E"/>
    <w:rsid w:val="00937037"/>
    <w:rsid w:val="009379B7"/>
    <w:rsid w:val="0095504A"/>
    <w:rsid w:val="0096210B"/>
    <w:rsid w:val="009626C4"/>
    <w:rsid w:val="009801A9"/>
    <w:rsid w:val="009820F4"/>
    <w:rsid w:val="009A1C68"/>
    <w:rsid w:val="009A60B2"/>
    <w:rsid w:val="009C1809"/>
    <w:rsid w:val="009C42E1"/>
    <w:rsid w:val="009D1CF3"/>
    <w:rsid w:val="009D223B"/>
    <w:rsid w:val="009E52BF"/>
    <w:rsid w:val="009F25C7"/>
    <w:rsid w:val="009F4320"/>
    <w:rsid w:val="00A20F5A"/>
    <w:rsid w:val="00A4606A"/>
    <w:rsid w:val="00A46939"/>
    <w:rsid w:val="00A475B3"/>
    <w:rsid w:val="00A632DB"/>
    <w:rsid w:val="00A642B0"/>
    <w:rsid w:val="00A66726"/>
    <w:rsid w:val="00A722B9"/>
    <w:rsid w:val="00A920A3"/>
    <w:rsid w:val="00A93364"/>
    <w:rsid w:val="00A96D96"/>
    <w:rsid w:val="00AA1649"/>
    <w:rsid w:val="00AB1B17"/>
    <w:rsid w:val="00AB440C"/>
    <w:rsid w:val="00AB4D9B"/>
    <w:rsid w:val="00AC76AD"/>
    <w:rsid w:val="00AD75BF"/>
    <w:rsid w:val="00AE21A4"/>
    <w:rsid w:val="00AF328E"/>
    <w:rsid w:val="00AF3C0C"/>
    <w:rsid w:val="00B07984"/>
    <w:rsid w:val="00B07B93"/>
    <w:rsid w:val="00B106CB"/>
    <w:rsid w:val="00B17F83"/>
    <w:rsid w:val="00B2121D"/>
    <w:rsid w:val="00B31883"/>
    <w:rsid w:val="00B33A25"/>
    <w:rsid w:val="00B4542D"/>
    <w:rsid w:val="00B4597F"/>
    <w:rsid w:val="00B55A26"/>
    <w:rsid w:val="00B64561"/>
    <w:rsid w:val="00B646A5"/>
    <w:rsid w:val="00B722DD"/>
    <w:rsid w:val="00B76E16"/>
    <w:rsid w:val="00B776E0"/>
    <w:rsid w:val="00B807DC"/>
    <w:rsid w:val="00B857A7"/>
    <w:rsid w:val="00BA5910"/>
    <w:rsid w:val="00BB2308"/>
    <w:rsid w:val="00BC02B1"/>
    <w:rsid w:val="00BC0CD7"/>
    <w:rsid w:val="00BC6E78"/>
    <w:rsid w:val="00BD1AFC"/>
    <w:rsid w:val="00BE14E2"/>
    <w:rsid w:val="00BE59BF"/>
    <w:rsid w:val="00BF090A"/>
    <w:rsid w:val="00BF1030"/>
    <w:rsid w:val="00BF1EA1"/>
    <w:rsid w:val="00C05F5B"/>
    <w:rsid w:val="00C07D4C"/>
    <w:rsid w:val="00C105AF"/>
    <w:rsid w:val="00C11A5E"/>
    <w:rsid w:val="00C21A3D"/>
    <w:rsid w:val="00C3578C"/>
    <w:rsid w:val="00C41CEB"/>
    <w:rsid w:val="00C44E56"/>
    <w:rsid w:val="00C507C2"/>
    <w:rsid w:val="00C57B9F"/>
    <w:rsid w:val="00C63B35"/>
    <w:rsid w:val="00C71083"/>
    <w:rsid w:val="00C73D0F"/>
    <w:rsid w:val="00C74F49"/>
    <w:rsid w:val="00C84863"/>
    <w:rsid w:val="00C87493"/>
    <w:rsid w:val="00C977B3"/>
    <w:rsid w:val="00CA0CEB"/>
    <w:rsid w:val="00CA4E1B"/>
    <w:rsid w:val="00CB34E0"/>
    <w:rsid w:val="00CB5791"/>
    <w:rsid w:val="00CB63F1"/>
    <w:rsid w:val="00CB6411"/>
    <w:rsid w:val="00CB76B3"/>
    <w:rsid w:val="00CD25E8"/>
    <w:rsid w:val="00CE4579"/>
    <w:rsid w:val="00CE46FA"/>
    <w:rsid w:val="00CF2FE6"/>
    <w:rsid w:val="00D01B46"/>
    <w:rsid w:val="00D023C8"/>
    <w:rsid w:val="00D02723"/>
    <w:rsid w:val="00D030B5"/>
    <w:rsid w:val="00D03B78"/>
    <w:rsid w:val="00D05E99"/>
    <w:rsid w:val="00D07543"/>
    <w:rsid w:val="00D12718"/>
    <w:rsid w:val="00D12D91"/>
    <w:rsid w:val="00D168D7"/>
    <w:rsid w:val="00D172DD"/>
    <w:rsid w:val="00D20008"/>
    <w:rsid w:val="00D265B2"/>
    <w:rsid w:val="00D26D9F"/>
    <w:rsid w:val="00D35F6A"/>
    <w:rsid w:val="00D36C51"/>
    <w:rsid w:val="00D44D28"/>
    <w:rsid w:val="00D46AC0"/>
    <w:rsid w:val="00D47D52"/>
    <w:rsid w:val="00D50FD3"/>
    <w:rsid w:val="00D607BB"/>
    <w:rsid w:val="00D624EA"/>
    <w:rsid w:val="00D636A4"/>
    <w:rsid w:val="00D71A16"/>
    <w:rsid w:val="00D724C0"/>
    <w:rsid w:val="00D754EC"/>
    <w:rsid w:val="00D7636F"/>
    <w:rsid w:val="00D82ACC"/>
    <w:rsid w:val="00D833B0"/>
    <w:rsid w:val="00D8432D"/>
    <w:rsid w:val="00D84C37"/>
    <w:rsid w:val="00D8556E"/>
    <w:rsid w:val="00D9007E"/>
    <w:rsid w:val="00D91058"/>
    <w:rsid w:val="00D91583"/>
    <w:rsid w:val="00D94626"/>
    <w:rsid w:val="00D95EA2"/>
    <w:rsid w:val="00DB1FD0"/>
    <w:rsid w:val="00DB240C"/>
    <w:rsid w:val="00DB708A"/>
    <w:rsid w:val="00DC18D8"/>
    <w:rsid w:val="00DD6C13"/>
    <w:rsid w:val="00DF5347"/>
    <w:rsid w:val="00DF6F8D"/>
    <w:rsid w:val="00E11064"/>
    <w:rsid w:val="00E13C5F"/>
    <w:rsid w:val="00E16812"/>
    <w:rsid w:val="00E2038D"/>
    <w:rsid w:val="00E20C87"/>
    <w:rsid w:val="00E23F1E"/>
    <w:rsid w:val="00E32DDB"/>
    <w:rsid w:val="00E35051"/>
    <w:rsid w:val="00E3551C"/>
    <w:rsid w:val="00E36C45"/>
    <w:rsid w:val="00E41246"/>
    <w:rsid w:val="00E43351"/>
    <w:rsid w:val="00E52338"/>
    <w:rsid w:val="00E55EDB"/>
    <w:rsid w:val="00E63FD5"/>
    <w:rsid w:val="00E83C1E"/>
    <w:rsid w:val="00E96874"/>
    <w:rsid w:val="00EA074B"/>
    <w:rsid w:val="00EA1221"/>
    <w:rsid w:val="00EB1EAD"/>
    <w:rsid w:val="00EB5654"/>
    <w:rsid w:val="00EB5819"/>
    <w:rsid w:val="00EC1E5F"/>
    <w:rsid w:val="00EC2773"/>
    <w:rsid w:val="00EC2C51"/>
    <w:rsid w:val="00ED60A2"/>
    <w:rsid w:val="00EE0C3F"/>
    <w:rsid w:val="00EE28D6"/>
    <w:rsid w:val="00EE61D0"/>
    <w:rsid w:val="00EE6FDE"/>
    <w:rsid w:val="00EF2FC2"/>
    <w:rsid w:val="00F0051D"/>
    <w:rsid w:val="00F11F6B"/>
    <w:rsid w:val="00F136F0"/>
    <w:rsid w:val="00F22FAD"/>
    <w:rsid w:val="00F236C2"/>
    <w:rsid w:val="00F27E72"/>
    <w:rsid w:val="00F31EF2"/>
    <w:rsid w:val="00F33F80"/>
    <w:rsid w:val="00F3464F"/>
    <w:rsid w:val="00F35533"/>
    <w:rsid w:val="00F36ED1"/>
    <w:rsid w:val="00F40F14"/>
    <w:rsid w:val="00F52482"/>
    <w:rsid w:val="00F52647"/>
    <w:rsid w:val="00F542EA"/>
    <w:rsid w:val="00F569C7"/>
    <w:rsid w:val="00F66BFB"/>
    <w:rsid w:val="00F7286B"/>
    <w:rsid w:val="00F8061A"/>
    <w:rsid w:val="00F826B1"/>
    <w:rsid w:val="00F84DFF"/>
    <w:rsid w:val="00F91382"/>
    <w:rsid w:val="00FB60C0"/>
    <w:rsid w:val="00FC2A8C"/>
    <w:rsid w:val="00FC3816"/>
    <w:rsid w:val="00FD5CDE"/>
    <w:rsid w:val="00FE13DF"/>
    <w:rsid w:val="00FE2597"/>
    <w:rsid w:val="00FE6E6F"/>
    <w:rsid w:val="00FF0E40"/>
    <w:rsid w:val="00FF111A"/>
    <w:rsid w:val="00FF3A6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4B8A7768-30ED-4269-A3FC-8FC3DB2A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4C3F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4E7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23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5058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674B-AD52-4F01-AC4F-876E141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873</Words>
  <Characters>4911</Characters>
  <Application>Microsoft Office Word</Application>
  <DocSecurity>8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Ken J. Hu</cp:lastModifiedBy>
  <cp:revision>8</cp:revision>
  <cp:lastPrinted>2018-10-11T21:43:00Z</cp:lastPrinted>
  <dcterms:created xsi:type="dcterms:W3CDTF">2018-10-11T21:30:00Z</dcterms:created>
  <dcterms:modified xsi:type="dcterms:W3CDTF">2019-05-08T22:21:00Z</dcterms:modified>
</cp:coreProperties>
</file>