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D0E04" w14:textId="77777777" w:rsidR="003E452B" w:rsidRDefault="00BE14E2">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sz w:val="20"/>
          <w:szCs w:val="20"/>
        </w:rPr>
      </w:pPr>
      <w:r>
        <w:rPr>
          <w:rFonts w:ascii="Arial" w:hAnsi="Arial" w:cs="Arial"/>
          <w:b/>
          <w:bCs/>
          <w:sz w:val="20"/>
          <w:szCs w:val="20"/>
        </w:rPr>
        <w:t xml:space="preserve">                                                              </w:t>
      </w:r>
    </w:p>
    <w:p w14:paraId="5E4F9547" w14:textId="77777777" w:rsidR="000527C6" w:rsidRDefault="003E452B" w:rsidP="00762A9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576" w:right="1008"/>
        <w:rPr>
          <w:rFonts w:ascii="Arial" w:hAnsi="Arial" w:cs="Arial"/>
          <w:b/>
          <w:bCs/>
          <w:u w:val="single"/>
          <w:lang w:eastAsia="zh-TW"/>
        </w:rPr>
      </w:pPr>
      <w:r>
        <w:rPr>
          <w:rFonts w:ascii="Arial" w:hAnsi="Arial" w:cs="Arial"/>
          <w:b/>
          <w:bCs/>
          <w:sz w:val="20"/>
          <w:szCs w:val="20"/>
        </w:rPr>
        <w:t xml:space="preserve">                                  </w:t>
      </w:r>
      <w:r w:rsidR="00414AEA">
        <w:rPr>
          <w:rFonts w:ascii="Arial" w:hAnsi="Arial" w:cs="Arial"/>
          <w:b/>
          <w:bCs/>
          <w:sz w:val="20"/>
          <w:szCs w:val="20"/>
        </w:rPr>
        <w:t xml:space="preserve">                               </w:t>
      </w:r>
    </w:p>
    <w:p w14:paraId="285F61FB" w14:textId="22A2D45A" w:rsidR="00DA3404" w:rsidRDefault="00DA3404" w:rsidP="00C03318">
      <w:pPr>
        <w:tabs>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left="720" w:right="1008"/>
        <w:jc w:val="right"/>
        <w:rPr>
          <w:rFonts w:ascii="Arial" w:hAnsi="Arial" w:cs="Arial"/>
          <w:b/>
          <w:bCs/>
        </w:rPr>
      </w:pPr>
      <w:r w:rsidRPr="00DA3404">
        <w:rPr>
          <w:rFonts w:ascii="Arial" w:hAnsi="Arial" w:cs="Arial"/>
          <w:b/>
          <w:bCs/>
        </w:rPr>
        <w:tab/>
      </w:r>
      <w:r w:rsidRPr="00DA3404">
        <w:rPr>
          <w:rFonts w:ascii="Arial" w:hAnsi="Arial" w:cs="Arial"/>
          <w:b/>
          <w:bCs/>
        </w:rPr>
        <w:tab/>
      </w:r>
      <w:r w:rsidRPr="00DA3404">
        <w:rPr>
          <w:rFonts w:ascii="Arial" w:hAnsi="Arial" w:cs="Arial"/>
          <w:b/>
          <w:bCs/>
        </w:rPr>
        <w:tab/>
      </w:r>
      <w:r w:rsidRPr="00DA3404">
        <w:rPr>
          <w:rFonts w:ascii="Arial" w:hAnsi="Arial" w:cs="Arial"/>
          <w:b/>
          <w:bCs/>
        </w:rPr>
        <w:tab/>
      </w:r>
    </w:p>
    <w:p w14:paraId="0D80A283" w14:textId="77777777" w:rsidR="000527C6" w:rsidRPr="00762A98" w:rsidRDefault="000527C6" w:rsidP="00854F0C">
      <w:pPr>
        <w:pStyle w:val="Title"/>
        <w:tabs>
          <w:tab w:val="left" w:pos="1980"/>
        </w:tabs>
        <w:ind w:left="1620" w:hanging="1980"/>
        <w:rPr>
          <w:rFonts w:ascii="Arial" w:hAnsi="Arial" w:cs="Arial"/>
          <w:szCs w:val="24"/>
        </w:rPr>
      </w:pPr>
      <w:r w:rsidRPr="00762A98">
        <w:rPr>
          <w:rFonts w:ascii="Arial" w:hAnsi="Arial" w:cs="Arial"/>
        </w:rPr>
        <w:t>INFORMATION SHEET</w:t>
      </w:r>
    </w:p>
    <w:p w14:paraId="1AE72CF8" w14:textId="77777777" w:rsidR="007C48AD" w:rsidRPr="003A02A5" w:rsidRDefault="007C48AD" w:rsidP="00854F0C">
      <w:pPr>
        <w:pBdr>
          <w:bottom w:val="single" w:sz="24" w:space="1" w:color="auto"/>
        </w:pBdr>
        <w:tabs>
          <w:tab w:val="left" w:pos="1980"/>
          <w:tab w:val="left" w:pos="3000"/>
        </w:tabs>
        <w:ind w:left="1620" w:hanging="1980"/>
        <w:rPr>
          <w:rFonts w:ascii="Arial" w:hAnsi="Arial" w:cs="Arial"/>
          <w:b/>
          <w:bCs/>
          <w:sz w:val="16"/>
          <w:szCs w:val="16"/>
        </w:rPr>
      </w:pPr>
    </w:p>
    <w:p w14:paraId="31B4F478" w14:textId="77777777" w:rsidR="00CB6411" w:rsidRPr="009565EB" w:rsidRDefault="00CB6411" w:rsidP="00854F0C">
      <w:pPr>
        <w:tabs>
          <w:tab w:val="left" w:pos="1980"/>
        </w:tabs>
        <w:ind w:left="1620" w:hanging="1980"/>
        <w:rPr>
          <w:rFonts w:ascii="Arial" w:hAnsi="Arial" w:cs="Arial"/>
          <w:b/>
          <w:bCs/>
          <w:sz w:val="10"/>
          <w:szCs w:val="10"/>
        </w:rPr>
      </w:pPr>
    </w:p>
    <w:p w14:paraId="06137949" w14:textId="16438114" w:rsidR="00CB6411" w:rsidRPr="00762A98" w:rsidRDefault="00F11440" w:rsidP="00854F0C">
      <w:pPr>
        <w:tabs>
          <w:tab w:val="left" w:pos="1980"/>
          <w:tab w:val="left" w:pos="2520"/>
        </w:tabs>
        <w:ind w:left="1620" w:hanging="1980"/>
        <w:rPr>
          <w:rFonts w:ascii="Arial" w:hAnsi="Arial" w:cs="Arial"/>
          <w:b/>
          <w:bCs/>
          <w:lang w:eastAsia="zh-TW"/>
        </w:rPr>
      </w:pPr>
      <w:r w:rsidRPr="00762A98">
        <w:rPr>
          <w:rFonts w:ascii="Arial" w:hAnsi="Arial" w:cs="Arial"/>
          <w:b/>
          <w:bCs/>
        </w:rPr>
        <w:t xml:space="preserve">NO.  </w:t>
      </w:r>
      <w:r w:rsidR="007F0756" w:rsidRPr="00762A98">
        <w:rPr>
          <w:rFonts w:ascii="Arial" w:hAnsi="Arial" w:cs="Arial"/>
          <w:b/>
          <w:bCs/>
          <w:lang w:eastAsia="zh-TW"/>
        </w:rPr>
        <w:t>DA-</w:t>
      </w:r>
      <w:r w:rsidR="00C03318">
        <w:rPr>
          <w:rFonts w:ascii="Arial" w:hAnsi="Arial" w:cs="Arial"/>
          <w:b/>
          <w:bCs/>
          <w:lang w:eastAsia="zh-TW"/>
        </w:rPr>
        <w:t>11</w:t>
      </w:r>
    </w:p>
    <w:p w14:paraId="3420A941" w14:textId="77777777" w:rsidR="00CB6411" w:rsidRPr="00DA3404" w:rsidRDefault="00CB6411" w:rsidP="00854F0C">
      <w:pPr>
        <w:tabs>
          <w:tab w:val="left" w:pos="1980"/>
        </w:tabs>
        <w:ind w:left="1620" w:hanging="1980"/>
        <w:rPr>
          <w:rFonts w:ascii="Arial" w:hAnsi="Arial" w:cs="Arial"/>
          <w:b/>
          <w:bCs/>
          <w:sz w:val="22"/>
          <w:szCs w:val="22"/>
        </w:rPr>
      </w:pPr>
    </w:p>
    <w:p w14:paraId="640A043E" w14:textId="011F24CE" w:rsidR="00CB6411" w:rsidRPr="00DA3404" w:rsidRDefault="00375A1F" w:rsidP="00854F0C">
      <w:pPr>
        <w:pStyle w:val="Header"/>
        <w:tabs>
          <w:tab w:val="clear" w:pos="4320"/>
          <w:tab w:val="clear" w:pos="8640"/>
          <w:tab w:val="left" w:pos="1980"/>
          <w:tab w:val="left" w:pos="2340"/>
          <w:tab w:val="left" w:pos="2610"/>
        </w:tabs>
        <w:ind w:left="1620" w:hanging="1980"/>
        <w:rPr>
          <w:rFonts w:ascii="Arial" w:hAnsi="Arial" w:cs="Arial"/>
          <w:bCs/>
          <w:sz w:val="22"/>
          <w:szCs w:val="22"/>
          <w:lang w:eastAsia="zh-TW"/>
        </w:rPr>
      </w:pPr>
      <w:r>
        <w:rPr>
          <w:rFonts w:ascii="Arial" w:hAnsi="Arial" w:cs="Arial"/>
          <w:b/>
          <w:bCs/>
          <w:sz w:val="22"/>
          <w:szCs w:val="22"/>
        </w:rPr>
        <w:t>DATE</w:t>
      </w:r>
      <w:r>
        <w:rPr>
          <w:rFonts w:ascii="Arial" w:hAnsi="Arial" w:cs="Arial"/>
          <w:b/>
          <w:bCs/>
          <w:sz w:val="22"/>
          <w:szCs w:val="22"/>
        </w:rPr>
        <w:tab/>
        <w:t>:</w:t>
      </w:r>
      <w:r>
        <w:rPr>
          <w:rFonts w:ascii="Arial" w:hAnsi="Arial" w:cs="Arial"/>
          <w:b/>
          <w:bCs/>
          <w:sz w:val="22"/>
          <w:szCs w:val="22"/>
        </w:rPr>
        <w:tab/>
      </w:r>
      <w:r w:rsidR="00C03318">
        <w:rPr>
          <w:rFonts w:ascii="Arial" w:hAnsi="Arial" w:cs="Arial"/>
          <w:bCs/>
          <w:sz w:val="22"/>
          <w:szCs w:val="22"/>
          <w:lang w:eastAsia="zh-TW"/>
        </w:rPr>
        <w:t>January 2</w:t>
      </w:r>
      <w:r w:rsidR="003A02A5">
        <w:rPr>
          <w:rFonts w:ascii="Arial" w:hAnsi="Arial" w:cs="Arial"/>
          <w:bCs/>
          <w:sz w:val="22"/>
          <w:szCs w:val="22"/>
          <w:lang w:eastAsia="zh-TW"/>
        </w:rPr>
        <w:t>9</w:t>
      </w:r>
      <w:r w:rsidR="00C03318">
        <w:rPr>
          <w:rFonts w:ascii="Arial" w:hAnsi="Arial" w:cs="Arial"/>
          <w:bCs/>
          <w:sz w:val="22"/>
          <w:szCs w:val="22"/>
          <w:lang w:eastAsia="zh-TW"/>
        </w:rPr>
        <w:t>, 2016</w:t>
      </w:r>
    </w:p>
    <w:p w14:paraId="6F51B25C" w14:textId="77777777" w:rsidR="00CB6411" w:rsidRPr="00DA3404" w:rsidRDefault="00CB6411" w:rsidP="00854F0C">
      <w:pPr>
        <w:tabs>
          <w:tab w:val="left" w:pos="1980"/>
          <w:tab w:val="left" w:pos="2160"/>
          <w:tab w:val="left" w:pos="2340"/>
          <w:tab w:val="left" w:pos="2610"/>
        </w:tabs>
        <w:ind w:left="1620" w:hanging="1980"/>
        <w:rPr>
          <w:rFonts w:ascii="Arial" w:hAnsi="Arial" w:cs="Arial"/>
          <w:b/>
          <w:bCs/>
          <w:sz w:val="22"/>
          <w:szCs w:val="22"/>
        </w:rPr>
      </w:pPr>
    </w:p>
    <w:p w14:paraId="04CA3C71" w14:textId="77777777" w:rsidR="00375A1F" w:rsidRDefault="004824EC" w:rsidP="00375A1F">
      <w:pPr>
        <w:tabs>
          <w:tab w:val="left" w:pos="1980"/>
          <w:tab w:val="left" w:pos="2340"/>
          <w:tab w:val="left" w:pos="2700"/>
        </w:tabs>
        <w:ind w:left="1620" w:hanging="1980"/>
        <w:rPr>
          <w:rFonts w:ascii="Arial" w:hAnsi="Arial" w:cs="Arial"/>
          <w:b/>
          <w:bCs/>
          <w:sz w:val="22"/>
          <w:szCs w:val="22"/>
        </w:rPr>
      </w:pPr>
      <w:r w:rsidRPr="00DA3404">
        <w:rPr>
          <w:rFonts w:ascii="Arial" w:hAnsi="Arial" w:cs="Arial"/>
          <w:b/>
          <w:bCs/>
          <w:sz w:val="22"/>
          <w:szCs w:val="22"/>
        </w:rPr>
        <w:t>CATEGORY</w:t>
      </w:r>
      <w:r w:rsidR="00375A1F">
        <w:rPr>
          <w:rFonts w:ascii="Arial" w:hAnsi="Arial" w:cs="Arial"/>
          <w:b/>
          <w:bCs/>
          <w:sz w:val="22"/>
          <w:szCs w:val="22"/>
        </w:rPr>
        <w:tab/>
        <w:t>:</w:t>
      </w:r>
      <w:r w:rsidR="00375A1F">
        <w:rPr>
          <w:rFonts w:ascii="Arial" w:hAnsi="Arial" w:cs="Arial"/>
          <w:b/>
          <w:bCs/>
          <w:sz w:val="22"/>
          <w:szCs w:val="22"/>
        </w:rPr>
        <w:tab/>
      </w:r>
      <w:r w:rsidR="00A65C0D" w:rsidRPr="00DA3404">
        <w:rPr>
          <w:rFonts w:ascii="Arial" w:hAnsi="Arial" w:cs="Arial"/>
          <w:bCs/>
          <w:sz w:val="22"/>
          <w:szCs w:val="22"/>
        </w:rPr>
        <w:t>Disabled Access</w:t>
      </w:r>
      <w:bookmarkStart w:id="0" w:name="_GoBack"/>
      <w:bookmarkEnd w:id="0"/>
    </w:p>
    <w:p w14:paraId="3133D523" w14:textId="77777777" w:rsidR="00375A1F" w:rsidRDefault="00375A1F" w:rsidP="00375A1F">
      <w:pPr>
        <w:tabs>
          <w:tab w:val="left" w:pos="1980"/>
          <w:tab w:val="left" w:pos="2340"/>
          <w:tab w:val="left" w:pos="2700"/>
        </w:tabs>
        <w:ind w:left="1620" w:hanging="1980"/>
        <w:rPr>
          <w:rFonts w:ascii="Arial" w:hAnsi="Arial" w:cs="Arial"/>
          <w:b/>
          <w:bCs/>
          <w:sz w:val="22"/>
          <w:szCs w:val="22"/>
        </w:rPr>
      </w:pPr>
    </w:p>
    <w:p w14:paraId="2AE873A6" w14:textId="2C846E64" w:rsidR="00CB6411" w:rsidRPr="00DA3404" w:rsidRDefault="004824EC" w:rsidP="00375A1F">
      <w:pPr>
        <w:tabs>
          <w:tab w:val="left" w:pos="1980"/>
          <w:tab w:val="left" w:pos="2340"/>
          <w:tab w:val="left" w:pos="2700"/>
        </w:tabs>
        <w:ind w:left="1620" w:hanging="1980"/>
        <w:rPr>
          <w:rFonts w:ascii="Arial" w:hAnsi="Arial" w:cs="Arial"/>
          <w:b/>
          <w:bCs/>
          <w:sz w:val="22"/>
          <w:szCs w:val="22"/>
        </w:rPr>
      </w:pPr>
      <w:r w:rsidRPr="00DA3404">
        <w:rPr>
          <w:rFonts w:ascii="Arial" w:hAnsi="Arial" w:cs="Arial"/>
          <w:b/>
          <w:bCs/>
          <w:sz w:val="22"/>
          <w:szCs w:val="22"/>
        </w:rPr>
        <w:t>SUBJECT</w:t>
      </w:r>
      <w:r w:rsidR="003A1469" w:rsidRPr="00DA3404">
        <w:rPr>
          <w:rFonts w:ascii="Arial" w:hAnsi="Arial" w:cs="Arial"/>
          <w:b/>
          <w:bCs/>
          <w:sz w:val="22"/>
          <w:szCs w:val="22"/>
        </w:rPr>
        <w:tab/>
        <w:t>:</w:t>
      </w:r>
      <w:r w:rsidR="003A1469" w:rsidRPr="00DA3404">
        <w:rPr>
          <w:rFonts w:ascii="Arial" w:hAnsi="Arial" w:cs="Arial"/>
          <w:b/>
          <w:bCs/>
          <w:sz w:val="22"/>
          <w:szCs w:val="22"/>
        </w:rPr>
        <w:tab/>
      </w:r>
      <w:r w:rsidR="003A1469" w:rsidRPr="00DA3404">
        <w:rPr>
          <w:rFonts w:ascii="Arial" w:hAnsi="Arial" w:cs="Arial"/>
          <w:b/>
          <w:bCs/>
          <w:sz w:val="22"/>
          <w:szCs w:val="22"/>
          <w:lang w:eastAsia="zh-TW"/>
        </w:rPr>
        <w:t>Multi-family dwelling r</w:t>
      </w:r>
      <w:r w:rsidR="004F0B71" w:rsidRPr="00DA3404">
        <w:rPr>
          <w:rFonts w:ascii="Arial" w:hAnsi="Arial" w:cs="Arial"/>
          <w:b/>
          <w:bCs/>
          <w:sz w:val="22"/>
          <w:szCs w:val="22"/>
          <w:lang w:eastAsia="zh-TW"/>
        </w:rPr>
        <w:t>equirements</w:t>
      </w:r>
      <w:r w:rsidR="003A1469" w:rsidRPr="00DA3404">
        <w:rPr>
          <w:rFonts w:ascii="Arial" w:hAnsi="Arial" w:cs="Arial"/>
          <w:b/>
          <w:bCs/>
          <w:sz w:val="22"/>
          <w:szCs w:val="22"/>
          <w:lang w:eastAsia="zh-TW"/>
        </w:rPr>
        <w:t xml:space="preserve"> for common a</w:t>
      </w:r>
      <w:r w:rsidR="0039456A" w:rsidRPr="00DA3404">
        <w:rPr>
          <w:rFonts w:ascii="Arial" w:hAnsi="Arial" w:cs="Arial"/>
          <w:b/>
          <w:bCs/>
          <w:sz w:val="22"/>
          <w:szCs w:val="22"/>
          <w:lang w:eastAsia="zh-TW"/>
        </w:rPr>
        <w:t>re</w:t>
      </w:r>
      <w:r w:rsidR="003A02A5">
        <w:rPr>
          <w:rFonts w:ascii="Arial" w:hAnsi="Arial" w:cs="Arial"/>
          <w:b/>
          <w:bCs/>
          <w:sz w:val="22"/>
          <w:szCs w:val="22"/>
          <w:lang w:eastAsia="zh-TW"/>
        </w:rPr>
        <w:t>a kitchens,</w:t>
      </w:r>
      <w:r w:rsidR="003A1469" w:rsidRPr="00DA3404">
        <w:rPr>
          <w:rFonts w:ascii="Arial" w:hAnsi="Arial" w:cs="Arial"/>
          <w:b/>
          <w:bCs/>
          <w:sz w:val="22"/>
          <w:szCs w:val="22"/>
          <w:lang w:eastAsia="zh-TW"/>
        </w:rPr>
        <w:t xml:space="preserve"> dwelling unit </w:t>
      </w:r>
      <w:r w:rsidR="00375A1F">
        <w:rPr>
          <w:rFonts w:ascii="Arial" w:hAnsi="Arial" w:cs="Arial"/>
          <w:b/>
          <w:bCs/>
          <w:sz w:val="22"/>
          <w:szCs w:val="22"/>
          <w:lang w:eastAsia="zh-TW"/>
        </w:rPr>
        <w:tab/>
      </w:r>
      <w:r w:rsidR="003A1469" w:rsidRPr="00DA3404">
        <w:rPr>
          <w:rFonts w:ascii="Arial" w:hAnsi="Arial" w:cs="Arial"/>
          <w:b/>
          <w:bCs/>
          <w:sz w:val="22"/>
          <w:szCs w:val="22"/>
          <w:lang w:eastAsia="zh-TW"/>
        </w:rPr>
        <w:t>kitchen</w:t>
      </w:r>
      <w:r w:rsidR="003A02A5">
        <w:rPr>
          <w:rFonts w:ascii="Arial" w:hAnsi="Arial" w:cs="Arial"/>
          <w:b/>
          <w:bCs/>
          <w:sz w:val="22"/>
          <w:szCs w:val="22"/>
          <w:lang w:eastAsia="zh-TW"/>
        </w:rPr>
        <w:t>,</w:t>
      </w:r>
      <w:r w:rsidR="003A1469" w:rsidRPr="00DA3404">
        <w:rPr>
          <w:rFonts w:ascii="Arial" w:hAnsi="Arial" w:cs="Arial"/>
          <w:b/>
          <w:bCs/>
          <w:sz w:val="22"/>
          <w:szCs w:val="22"/>
          <w:lang w:eastAsia="zh-TW"/>
        </w:rPr>
        <w:t xml:space="preserve"> bathroom showers, entry d</w:t>
      </w:r>
      <w:r w:rsidR="000B7C07" w:rsidRPr="00DA3404">
        <w:rPr>
          <w:rFonts w:ascii="Arial" w:hAnsi="Arial" w:cs="Arial"/>
          <w:b/>
          <w:bCs/>
          <w:sz w:val="22"/>
          <w:szCs w:val="22"/>
          <w:lang w:eastAsia="zh-TW"/>
        </w:rPr>
        <w:t>oors</w:t>
      </w:r>
      <w:r w:rsidR="00094905" w:rsidRPr="00DA3404">
        <w:rPr>
          <w:rFonts w:ascii="Arial" w:hAnsi="Arial" w:cs="Arial"/>
          <w:b/>
          <w:bCs/>
          <w:sz w:val="22"/>
          <w:szCs w:val="22"/>
          <w:lang w:eastAsia="zh-TW"/>
        </w:rPr>
        <w:t xml:space="preserve">, </w:t>
      </w:r>
      <w:r w:rsidR="003A1469" w:rsidRPr="00DA3404">
        <w:rPr>
          <w:rFonts w:ascii="Arial" w:hAnsi="Arial" w:cs="Arial"/>
          <w:b/>
          <w:bCs/>
          <w:sz w:val="22"/>
          <w:szCs w:val="22"/>
          <w:lang w:eastAsia="zh-TW"/>
        </w:rPr>
        <w:t>and m</w:t>
      </w:r>
      <w:r w:rsidR="00094905" w:rsidRPr="00DA3404">
        <w:rPr>
          <w:rFonts w:ascii="Arial" w:hAnsi="Arial" w:cs="Arial"/>
          <w:b/>
          <w:bCs/>
          <w:sz w:val="22"/>
          <w:szCs w:val="22"/>
          <w:lang w:eastAsia="zh-TW"/>
        </w:rPr>
        <w:t>ailboxes</w:t>
      </w:r>
    </w:p>
    <w:p w14:paraId="32A9748F" w14:textId="77777777" w:rsidR="005A20AA" w:rsidRPr="003A02A5" w:rsidRDefault="005A20AA" w:rsidP="00854F0C">
      <w:pPr>
        <w:pBdr>
          <w:bottom w:val="single" w:sz="24" w:space="1" w:color="auto"/>
        </w:pBdr>
        <w:tabs>
          <w:tab w:val="left" w:pos="1980"/>
          <w:tab w:val="left" w:pos="2160"/>
          <w:tab w:val="left" w:pos="2340"/>
          <w:tab w:val="left" w:pos="2610"/>
        </w:tabs>
        <w:ind w:left="1620" w:hanging="1980"/>
        <w:rPr>
          <w:rFonts w:ascii="Arial" w:hAnsi="Arial" w:cs="Arial"/>
          <w:b/>
          <w:bCs/>
          <w:sz w:val="6"/>
          <w:szCs w:val="6"/>
        </w:rPr>
      </w:pPr>
    </w:p>
    <w:p w14:paraId="1FD70EC8" w14:textId="77777777" w:rsidR="00F66A7A" w:rsidRPr="003A02A5" w:rsidRDefault="00F66A7A" w:rsidP="00854F0C">
      <w:pPr>
        <w:tabs>
          <w:tab w:val="left" w:pos="1980"/>
          <w:tab w:val="left" w:pos="2340"/>
          <w:tab w:val="left" w:pos="2610"/>
        </w:tabs>
        <w:ind w:left="1620" w:hanging="1980"/>
        <w:rPr>
          <w:rFonts w:ascii="Arial" w:hAnsi="Arial" w:cs="Arial"/>
          <w:sz w:val="16"/>
          <w:szCs w:val="16"/>
        </w:rPr>
      </w:pPr>
    </w:p>
    <w:p w14:paraId="76A8C64A" w14:textId="77777777" w:rsidR="00714505" w:rsidRPr="007A7444" w:rsidRDefault="00714505" w:rsidP="00854F0C">
      <w:pPr>
        <w:tabs>
          <w:tab w:val="left" w:pos="1980"/>
          <w:tab w:val="left" w:pos="2340"/>
          <w:tab w:val="left" w:pos="2610"/>
        </w:tabs>
        <w:ind w:left="1620" w:hanging="1980"/>
        <w:rPr>
          <w:rFonts w:ascii="Arial" w:hAnsi="Arial" w:cs="Arial"/>
          <w:b/>
          <w:bCs/>
          <w:sz w:val="22"/>
          <w:szCs w:val="22"/>
        </w:rPr>
      </w:pPr>
      <w:r w:rsidRPr="007A7444">
        <w:rPr>
          <w:rFonts w:ascii="Arial" w:hAnsi="Arial" w:cs="Arial"/>
          <w:b/>
          <w:bCs/>
          <w:sz w:val="22"/>
          <w:szCs w:val="22"/>
        </w:rPr>
        <w:t xml:space="preserve">SECTIONS </w:t>
      </w:r>
    </w:p>
    <w:p w14:paraId="43CC0742" w14:textId="31FE44DC" w:rsidR="0003313A" w:rsidRPr="007A7444" w:rsidRDefault="00714505" w:rsidP="00854F0C">
      <w:pPr>
        <w:tabs>
          <w:tab w:val="left" w:pos="1980"/>
          <w:tab w:val="left" w:pos="2340"/>
          <w:tab w:val="left" w:pos="2700"/>
        </w:tabs>
        <w:ind w:left="1620" w:hanging="1980"/>
        <w:rPr>
          <w:rFonts w:ascii="Arial" w:hAnsi="Arial" w:cs="Arial"/>
          <w:b/>
          <w:bCs/>
          <w:sz w:val="22"/>
          <w:szCs w:val="22"/>
        </w:rPr>
      </w:pPr>
      <w:r w:rsidRPr="007A7444">
        <w:rPr>
          <w:rFonts w:ascii="Arial" w:hAnsi="Arial" w:cs="Arial"/>
          <w:b/>
          <w:bCs/>
          <w:sz w:val="22"/>
          <w:szCs w:val="22"/>
        </w:rPr>
        <w:t>INVOLVED</w:t>
      </w:r>
      <w:r w:rsidRPr="007A7444">
        <w:rPr>
          <w:rFonts w:ascii="Arial" w:hAnsi="Arial" w:cs="Arial"/>
          <w:b/>
          <w:bCs/>
          <w:sz w:val="22"/>
          <w:szCs w:val="22"/>
        </w:rPr>
        <w:tab/>
        <w:t>:</w:t>
      </w:r>
      <w:r w:rsidR="003A1469" w:rsidRPr="007A7444">
        <w:rPr>
          <w:rFonts w:ascii="Arial" w:hAnsi="Arial" w:cs="Arial"/>
          <w:b/>
          <w:bCs/>
          <w:sz w:val="22"/>
          <w:szCs w:val="22"/>
        </w:rPr>
        <w:tab/>
      </w:r>
      <w:r w:rsidR="0003313A" w:rsidRPr="007A7444">
        <w:rPr>
          <w:rFonts w:ascii="Arial" w:hAnsi="Arial" w:cs="Arial"/>
          <w:b/>
          <w:bCs/>
          <w:sz w:val="22"/>
          <w:szCs w:val="22"/>
        </w:rPr>
        <w:t xml:space="preserve">San Francisco Building Code </w:t>
      </w:r>
      <w:r w:rsidR="000904B6" w:rsidRPr="007A7444">
        <w:rPr>
          <w:rFonts w:ascii="Arial" w:hAnsi="Arial" w:cs="Arial"/>
          <w:b/>
          <w:bCs/>
          <w:sz w:val="22"/>
          <w:szCs w:val="22"/>
        </w:rPr>
        <w:t xml:space="preserve">(SFBC) </w:t>
      </w:r>
      <w:r w:rsidR="003A02A5">
        <w:rPr>
          <w:rFonts w:ascii="Arial" w:hAnsi="Arial" w:cs="Arial"/>
          <w:b/>
          <w:bCs/>
          <w:sz w:val="22"/>
          <w:szCs w:val="22"/>
        </w:rPr>
        <w:t>Sections</w:t>
      </w:r>
    </w:p>
    <w:p w14:paraId="053F4AEB" w14:textId="4307F13C" w:rsidR="0041764B" w:rsidRPr="007A7444" w:rsidRDefault="0041764B" w:rsidP="00375A1F">
      <w:pPr>
        <w:pStyle w:val="ListParagraph"/>
        <w:numPr>
          <w:ilvl w:val="0"/>
          <w:numId w:val="20"/>
        </w:numPr>
        <w:tabs>
          <w:tab w:val="left" w:pos="1980"/>
        </w:tabs>
        <w:ind w:left="2430" w:hanging="180"/>
        <w:rPr>
          <w:rFonts w:ascii="Arial" w:hAnsi="Arial" w:cs="Arial"/>
          <w:bCs/>
          <w:sz w:val="22"/>
          <w:szCs w:val="22"/>
        </w:rPr>
      </w:pPr>
      <w:r w:rsidRPr="007A7444">
        <w:rPr>
          <w:rFonts w:ascii="Arial" w:hAnsi="Arial" w:cs="Arial"/>
          <w:bCs/>
          <w:sz w:val="22"/>
          <w:szCs w:val="22"/>
        </w:rPr>
        <w:t xml:space="preserve">202 </w:t>
      </w:r>
      <w:r w:rsidR="003A1469" w:rsidRPr="007A7444">
        <w:rPr>
          <w:rFonts w:ascii="Arial" w:hAnsi="Arial" w:cs="Arial"/>
          <w:bCs/>
          <w:sz w:val="22"/>
          <w:szCs w:val="22"/>
        </w:rPr>
        <w:t>Definitions: Common U</w:t>
      </w:r>
      <w:r w:rsidRPr="007A7444">
        <w:rPr>
          <w:rFonts w:ascii="Arial" w:hAnsi="Arial" w:cs="Arial"/>
          <w:bCs/>
          <w:sz w:val="22"/>
          <w:szCs w:val="22"/>
        </w:rPr>
        <w:t>se Area, Public Use</w:t>
      </w:r>
    </w:p>
    <w:p w14:paraId="6829C7F9" w14:textId="5D3FFE94" w:rsidR="005B400C" w:rsidRPr="007A7444" w:rsidRDefault="005B400C" w:rsidP="00375A1F">
      <w:pPr>
        <w:pStyle w:val="ListParagraph"/>
        <w:numPr>
          <w:ilvl w:val="0"/>
          <w:numId w:val="20"/>
        </w:numPr>
        <w:tabs>
          <w:tab w:val="left" w:pos="1980"/>
          <w:tab w:val="left" w:pos="3600"/>
          <w:tab w:val="left" w:pos="4320"/>
        </w:tabs>
        <w:ind w:left="2430" w:hanging="180"/>
        <w:rPr>
          <w:rFonts w:ascii="Arial" w:hAnsi="Arial" w:cs="Arial"/>
          <w:bCs/>
          <w:sz w:val="22"/>
          <w:szCs w:val="22"/>
        </w:rPr>
      </w:pPr>
      <w:r w:rsidRPr="007A7444">
        <w:rPr>
          <w:rFonts w:ascii="Arial" w:hAnsi="Arial" w:cs="Arial"/>
          <w:bCs/>
          <w:sz w:val="22"/>
          <w:szCs w:val="22"/>
        </w:rPr>
        <w:t xml:space="preserve">1101A.1 </w:t>
      </w:r>
      <w:r w:rsidR="003A02A5">
        <w:rPr>
          <w:rFonts w:ascii="Arial" w:hAnsi="Arial" w:cs="Arial"/>
          <w:bCs/>
          <w:sz w:val="22"/>
          <w:szCs w:val="22"/>
        </w:rPr>
        <w:tab/>
      </w:r>
      <w:r w:rsidRPr="007A7444">
        <w:rPr>
          <w:rFonts w:ascii="Arial" w:hAnsi="Arial" w:cs="Arial"/>
          <w:bCs/>
          <w:sz w:val="22"/>
          <w:szCs w:val="22"/>
        </w:rPr>
        <w:t>Scope</w:t>
      </w:r>
    </w:p>
    <w:p w14:paraId="25E99AE9" w14:textId="10209215" w:rsidR="005B400C" w:rsidRPr="007A7444" w:rsidRDefault="003A1469" w:rsidP="00375A1F">
      <w:pPr>
        <w:pStyle w:val="ListParagraph"/>
        <w:numPr>
          <w:ilvl w:val="0"/>
          <w:numId w:val="20"/>
        </w:numPr>
        <w:tabs>
          <w:tab w:val="left" w:pos="1980"/>
          <w:tab w:val="left" w:pos="3600"/>
          <w:tab w:val="left" w:pos="4320"/>
        </w:tabs>
        <w:ind w:left="2430" w:hanging="180"/>
        <w:rPr>
          <w:rFonts w:ascii="Arial" w:hAnsi="Arial" w:cs="Arial"/>
          <w:bCs/>
          <w:sz w:val="22"/>
          <w:szCs w:val="22"/>
        </w:rPr>
      </w:pPr>
      <w:r w:rsidRPr="007A7444">
        <w:rPr>
          <w:rFonts w:ascii="Arial" w:hAnsi="Arial" w:cs="Arial"/>
          <w:bCs/>
          <w:sz w:val="22"/>
          <w:szCs w:val="22"/>
        </w:rPr>
        <w:t xml:space="preserve">1102A.2 </w:t>
      </w:r>
      <w:r w:rsidR="003A02A5">
        <w:rPr>
          <w:rFonts w:ascii="Arial" w:hAnsi="Arial" w:cs="Arial"/>
          <w:bCs/>
          <w:sz w:val="22"/>
          <w:szCs w:val="22"/>
        </w:rPr>
        <w:tab/>
      </w:r>
      <w:r w:rsidRPr="007A7444">
        <w:rPr>
          <w:rFonts w:ascii="Arial" w:hAnsi="Arial" w:cs="Arial"/>
          <w:bCs/>
          <w:sz w:val="22"/>
          <w:szCs w:val="22"/>
        </w:rPr>
        <w:t>Existing b</w:t>
      </w:r>
      <w:r w:rsidR="005B400C" w:rsidRPr="007A7444">
        <w:rPr>
          <w:rFonts w:ascii="Arial" w:hAnsi="Arial" w:cs="Arial"/>
          <w:bCs/>
          <w:sz w:val="22"/>
          <w:szCs w:val="22"/>
        </w:rPr>
        <w:t xml:space="preserve">uildings </w:t>
      </w:r>
    </w:p>
    <w:p w14:paraId="0DE8B55D" w14:textId="4C90E5CD" w:rsidR="005B400C" w:rsidRPr="007A7444" w:rsidRDefault="003A1469" w:rsidP="00375A1F">
      <w:pPr>
        <w:pStyle w:val="ListParagraph"/>
        <w:numPr>
          <w:ilvl w:val="0"/>
          <w:numId w:val="20"/>
        </w:numPr>
        <w:tabs>
          <w:tab w:val="left" w:pos="1980"/>
          <w:tab w:val="left" w:pos="3600"/>
          <w:tab w:val="left" w:pos="4320"/>
        </w:tabs>
        <w:ind w:left="2430" w:hanging="180"/>
        <w:rPr>
          <w:rFonts w:ascii="Arial" w:hAnsi="Arial" w:cs="Arial"/>
          <w:bCs/>
          <w:sz w:val="22"/>
          <w:szCs w:val="22"/>
        </w:rPr>
      </w:pPr>
      <w:r w:rsidRPr="007A7444">
        <w:rPr>
          <w:rFonts w:ascii="Arial" w:hAnsi="Arial" w:cs="Arial"/>
          <w:bCs/>
          <w:sz w:val="22"/>
          <w:szCs w:val="22"/>
        </w:rPr>
        <w:t xml:space="preserve">1127A </w:t>
      </w:r>
      <w:r w:rsidR="003A02A5">
        <w:rPr>
          <w:rFonts w:ascii="Arial" w:hAnsi="Arial" w:cs="Arial"/>
          <w:bCs/>
          <w:sz w:val="22"/>
          <w:szCs w:val="22"/>
        </w:rPr>
        <w:tab/>
      </w:r>
      <w:r w:rsidRPr="007A7444">
        <w:rPr>
          <w:rFonts w:ascii="Arial" w:hAnsi="Arial" w:cs="Arial"/>
          <w:bCs/>
          <w:sz w:val="22"/>
          <w:szCs w:val="22"/>
        </w:rPr>
        <w:t>Common use f</w:t>
      </w:r>
      <w:r w:rsidR="005B400C" w:rsidRPr="007A7444">
        <w:rPr>
          <w:rFonts w:ascii="Arial" w:hAnsi="Arial" w:cs="Arial"/>
          <w:bCs/>
          <w:sz w:val="22"/>
          <w:szCs w:val="22"/>
        </w:rPr>
        <w:t xml:space="preserve">acilities </w:t>
      </w:r>
    </w:p>
    <w:p w14:paraId="338266A9" w14:textId="20890385" w:rsidR="005B400C" w:rsidRPr="007A7444" w:rsidRDefault="003A1469" w:rsidP="00375A1F">
      <w:pPr>
        <w:pStyle w:val="ListParagraph"/>
        <w:numPr>
          <w:ilvl w:val="0"/>
          <w:numId w:val="20"/>
        </w:numPr>
        <w:tabs>
          <w:tab w:val="left" w:pos="1980"/>
          <w:tab w:val="left" w:pos="3600"/>
          <w:tab w:val="left" w:pos="4320"/>
        </w:tabs>
        <w:ind w:left="2430" w:hanging="180"/>
        <w:rPr>
          <w:rFonts w:ascii="Arial" w:hAnsi="Arial" w:cs="Arial"/>
          <w:bCs/>
          <w:sz w:val="22"/>
          <w:szCs w:val="22"/>
        </w:rPr>
      </w:pPr>
      <w:r w:rsidRPr="007A7444">
        <w:rPr>
          <w:rFonts w:ascii="Arial" w:hAnsi="Arial" w:cs="Arial"/>
          <w:bCs/>
          <w:sz w:val="22"/>
          <w:szCs w:val="22"/>
        </w:rPr>
        <w:t>1127A.12.4 Height of work s</w:t>
      </w:r>
      <w:r w:rsidR="005B400C" w:rsidRPr="007A7444">
        <w:rPr>
          <w:rFonts w:ascii="Arial" w:hAnsi="Arial" w:cs="Arial"/>
          <w:bCs/>
          <w:sz w:val="22"/>
          <w:szCs w:val="22"/>
        </w:rPr>
        <w:t>urfaces</w:t>
      </w:r>
    </w:p>
    <w:p w14:paraId="2CA92BE0" w14:textId="6DCCCFD2" w:rsidR="005B400C" w:rsidRPr="007A7444" w:rsidRDefault="005B400C" w:rsidP="00375A1F">
      <w:pPr>
        <w:pStyle w:val="ListParagraph"/>
        <w:numPr>
          <w:ilvl w:val="0"/>
          <w:numId w:val="20"/>
        </w:numPr>
        <w:tabs>
          <w:tab w:val="left" w:pos="1980"/>
          <w:tab w:val="left" w:pos="3600"/>
          <w:tab w:val="left" w:pos="4320"/>
        </w:tabs>
        <w:ind w:left="2430" w:hanging="180"/>
        <w:rPr>
          <w:rFonts w:ascii="Arial" w:hAnsi="Arial" w:cs="Arial"/>
          <w:bCs/>
          <w:sz w:val="22"/>
          <w:szCs w:val="22"/>
        </w:rPr>
      </w:pPr>
      <w:r w:rsidRPr="007A7444">
        <w:rPr>
          <w:rFonts w:ascii="Arial" w:hAnsi="Arial" w:cs="Arial"/>
          <w:bCs/>
          <w:sz w:val="22"/>
          <w:szCs w:val="22"/>
        </w:rPr>
        <w:t xml:space="preserve">1133A </w:t>
      </w:r>
      <w:r w:rsidR="003A02A5">
        <w:rPr>
          <w:rFonts w:ascii="Arial" w:hAnsi="Arial" w:cs="Arial"/>
          <w:bCs/>
          <w:sz w:val="22"/>
          <w:szCs w:val="22"/>
        </w:rPr>
        <w:tab/>
      </w:r>
      <w:r w:rsidRPr="007A7444">
        <w:rPr>
          <w:rFonts w:ascii="Arial" w:hAnsi="Arial" w:cs="Arial"/>
          <w:bCs/>
          <w:sz w:val="22"/>
          <w:szCs w:val="22"/>
        </w:rPr>
        <w:t>Ki</w:t>
      </w:r>
      <w:r w:rsidR="0039456A" w:rsidRPr="007A7444">
        <w:rPr>
          <w:rFonts w:ascii="Arial" w:hAnsi="Arial" w:cs="Arial"/>
          <w:bCs/>
          <w:sz w:val="22"/>
          <w:szCs w:val="22"/>
        </w:rPr>
        <w:t>tchens</w:t>
      </w:r>
    </w:p>
    <w:p w14:paraId="7104F8FA" w14:textId="654DB023" w:rsidR="005B400C" w:rsidRPr="007A7444" w:rsidRDefault="0000494D" w:rsidP="00375A1F">
      <w:pPr>
        <w:pStyle w:val="ListParagraph"/>
        <w:numPr>
          <w:ilvl w:val="0"/>
          <w:numId w:val="20"/>
        </w:numPr>
        <w:tabs>
          <w:tab w:val="left" w:pos="1980"/>
          <w:tab w:val="left" w:pos="3600"/>
          <w:tab w:val="left" w:pos="4320"/>
        </w:tabs>
        <w:ind w:left="2430" w:hanging="180"/>
        <w:rPr>
          <w:rFonts w:ascii="Arial" w:hAnsi="Arial" w:cs="Arial"/>
          <w:sz w:val="22"/>
          <w:szCs w:val="22"/>
        </w:rPr>
      </w:pPr>
      <w:r w:rsidRPr="007A7444">
        <w:rPr>
          <w:rFonts w:ascii="Arial" w:hAnsi="Arial" w:cs="Arial"/>
          <w:sz w:val="22"/>
          <w:szCs w:val="22"/>
        </w:rPr>
        <w:t>11</w:t>
      </w:r>
      <w:r w:rsidR="000B7C07" w:rsidRPr="007A7444">
        <w:rPr>
          <w:rFonts w:ascii="Arial" w:hAnsi="Arial" w:cs="Arial"/>
          <w:sz w:val="22"/>
          <w:szCs w:val="22"/>
        </w:rPr>
        <w:t>33</w:t>
      </w:r>
      <w:r w:rsidR="00B13781" w:rsidRPr="007A7444">
        <w:rPr>
          <w:rFonts w:ascii="Arial" w:hAnsi="Arial" w:cs="Arial"/>
          <w:sz w:val="22"/>
          <w:szCs w:val="22"/>
        </w:rPr>
        <w:t xml:space="preserve">A.1 </w:t>
      </w:r>
      <w:r w:rsidR="003A02A5">
        <w:rPr>
          <w:rFonts w:ascii="Arial" w:hAnsi="Arial" w:cs="Arial"/>
          <w:sz w:val="22"/>
          <w:szCs w:val="22"/>
        </w:rPr>
        <w:tab/>
      </w:r>
      <w:r w:rsidR="003A1469" w:rsidRPr="007A7444">
        <w:rPr>
          <w:rFonts w:ascii="Arial" w:hAnsi="Arial" w:cs="Arial"/>
          <w:sz w:val="22"/>
          <w:szCs w:val="22"/>
        </w:rPr>
        <w:t>Removable base c</w:t>
      </w:r>
      <w:r w:rsidR="000B7C07" w:rsidRPr="007A7444">
        <w:rPr>
          <w:rFonts w:ascii="Arial" w:hAnsi="Arial" w:cs="Arial"/>
          <w:sz w:val="22"/>
          <w:szCs w:val="22"/>
        </w:rPr>
        <w:t>abinets</w:t>
      </w:r>
    </w:p>
    <w:p w14:paraId="66D08F65" w14:textId="706B0A80" w:rsidR="00A46535" w:rsidRPr="007A7444" w:rsidRDefault="003A1469" w:rsidP="00375A1F">
      <w:pPr>
        <w:pStyle w:val="ListParagraph"/>
        <w:numPr>
          <w:ilvl w:val="0"/>
          <w:numId w:val="20"/>
        </w:numPr>
        <w:tabs>
          <w:tab w:val="left" w:pos="1980"/>
          <w:tab w:val="left" w:pos="3600"/>
          <w:tab w:val="left" w:pos="4320"/>
        </w:tabs>
        <w:ind w:left="2430" w:hanging="180"/>
        <w:rPr>
          <w:rFonts w:ascii="Arial" w:hAnsi="Arial" w:cs="Arial"/>
          <w:sz w:val="22"/>
          <w:szCs w:val="22"/>
        </w:rPr>
      </w:pPr>
      <w:r w:rsidRPr="007A7444">
        <w:rPr>
          <w:rFonts w:ascii="Arial" w:hAnsi="Arial" w:cs="Arial"/>
          <w:sz w:val="22"/>
          <w:szCs w:val="22"/>
        </w:rPr>
        <w:t xml:space="preserve">1134A </w:t>
      </w:r>
      <w:r w:rsidR="003A02A5">
        <w:rPr>
          <w:rFonts w:ascii="Arial" w:hAnsi="Arial" w:cs="Arial"/>
          <w:sz w:val="22"/>
          <w:szCs w:val="22"/>
        </w:rPr>
        <w:tab/>
      </w:r>
      <w:r w:rsidRPr="007A7444">
        <w:rPr>
          <w:rFonts w:ascii="Arial" w:hAnsi="Arial" w:cs="Arial"/>
          <w:sz w:val="22"/>
          <w:szCs w:val="22"/>
        </w:rPr>
        <w:t>Bathing and toilet f</w:t>
      </w:r>
      <w:r w:rsidR="00A46535" w:rsidRPr="007A7444">
        <w:rPr>
          <w:rFonts w:ascii="Arial" w:hAnsi="Arial" w:cs="Arial"/>
          <w:sz w:val="22"/>
          <w:szCs w:val="22"/>
        </w:rPr>
        <w:t>acilities</w:t>
      </w:r>
    </w:p>
    <w:p w14:paraId="6A1A0A34" w14:textId="557EBDE5" w:rsidR="00A46535" w:rsidRPr="007A7444" w:rsidRDefault="00094905" w:rsidP="00375A1F">
      <w:pPr>
        <w:pStyle w:val="ListParagraph"/>
        <w:numPr>
          <w:ilvl w:val="0"/>
          <w:numId w:val="20"/>
        </w:numPr>
        <w:tabs>
          <w:tab w:val="left" w:pos="1980"/>
          <w:tab w:val="left" w:pos="3600"/>
          <w:tab w:val="left" w:pos="4320"/>
        </w:tabs>
        <w:ind w:left="2430" w:hanging="180"/>
        <w:rPr>
          <w:rFonts w:ascii="Arial" w:hAnsi="Arial" w:cs="Arial"/>
          <w:sz w:val="22"/>
          <w:szCs w:val="22"/>
        </w:rPr>
      </w:pPr>
      <w:r w:rsidRPr="007A7444">
        <w:rPr>
          <w:rFonts w:ascii="Arial" w:hAnsi="Arial" w:cs="Arial"/>
          <w:sz w:val="22"/>
          <w:szCs w:val="22"/>
        </w:rPr>
        <w:t xml:space="preserve">1134A.6 </w:t>
      </w:r>
      <w:r w:rsidR="003A02A5">
        <w:rPr>
          <w:rFonts w:ascii="Arial" w:hAnsi="Arial" w:cs="Arial"/>
          <w:sz w:val="22"/>
          <w:szCs w:val="22"/>
        </w:rPr>
        <w:tab/>
      </w:r>
      <w:r w:rsidRPr="007A7444">
        <w:rPr>
          <w:rFonts w:ascii="Arial" w:hAnsi="Arial" w:cs="Arial"/>
          <w:sz w:val="22"/>
          <w:szCs w:val="22"/>
        </w:rPr>
        <w:t>Showers</w:t>
      </w:r>
    </w:p>
    <w:p w14:paraId="59D17EBE" w14:textId="7A47DB85" w:rsidR="00094905" w:rsidRPr="007A7444" w:rsidRDefault="00094905" w:rsidP="00375A1F">
      <w:pPr>
        <w:pStyle w:val="ListParagraph"/>
        <w:numPr>
          <w:ilvl w:val="0"/>
          <w:numId w:val="20"/>
        </w:numPr>
        <w:tabs>
          <w:tab w:val="left" w:pos="1980"/>
          <w:tab w:val="left" w:pos="3600"/>
          <w:tab w:val="left" w:pos="4320"/>
        </w:tabs>
        <w:ind w:left="2430" w:hanging="180"/>
        <w:rPr>
          <w:rFonts w:ascii="Arial" w:hAnsi="Arial" w:cs="Arial"/>
          <w:sz w:val="22"/>
          <w:szCs w:val="22"/>
        </w:rPr>
      </w:pPr>
      <w:r w:rsidRPr="007A7444">
        <w:rPr>
          <w:rFonts w:ascii="Arial" w:hAnsi="Arial" w:cs="Arial"/>
          <w:sz w:val="22"/>
          <w:szCs w:val="22"/>
        </w:rPr>
        <w:t xml:space="preserve">1138A.3 </w:t>
      </w:r>
      <w:r w:rsidR="003A02A5">
        <w:rPr>
          <w:rFonts w:ascii="Arial" w:hAnsi="Arial" w:cs="Arial"/>
          <w:sz w:val="22"/>
          <w:szCs w:val="22"/>
        </w:rPr>
        <w:tab/>
      </w:r>
      <w:r w:rsidRPr="007A7444">
        <w:rPr>
          <w:rFonts w:ascii="Arial" w:hAnsi="Arial" w:cs="Arial"/>
          <w:sz w:val="22"/>
          <w:szCs w:val="22"/>
        </w:rPr>
        <w:t>Reach ranges</w:t>
      </w:r>
    </w:p>
    <w:p w14:paraId="2D141833" w14:textId="31BD7BA6" w:rsidR="00094905" w:rsidRPr="007A7444" w:rsidRDefault="00094905" w:rsidP="00375A1F">
      <w:pPr>
        <w:pStyle w:val="ListParagraph"/>
        <w:numPr>
          <w:ilvl w:val="0"/>
          <w:numId w:val="20"/>
        </w:numPr>
        <w:tabs>
          <w:tab w:val="left" w:pos="1980"/>
          <w:tab w:val="left" w:pos="3600"/>
          <w:tab w:val="left" w:pos="4320"/>
        </w:tabs>
        <w:ind w:left="2430" w:hanging="180"/>
        <w:rPr>
          <w:rFonts w:ascii="Arial" w:hAnsi="Arial" w:cs="Arial"/>
          <w:sz w:val="22"/>
          <w:szCs w:val="22"/>
        </w:rPr>
      </w:pPr>
      <w:r w:rsidRPr="007A7444">
        <w:rPr>
          <w:rFonts w:ascii="Arial" w:hAnsi="Arial" w:cs="Arial"/>
          <w:sz w:val="22"/>
          <w:szCs w:val="22"/>
        </w:rPr>
        <w:t xml:space="preserve">1138A.4 </w:t>
      </w:r>
      <w:r w:rsidR="003A02A5">
        <w:rPr>
          <w:rFonts w:ascii="Arial" w:hAnsi="Arial" w:cs="Arial"/>
          <w:sz w:val="22"/>
          <w:szCs w:val="22"/>
        </w:rPr>
        <w:tab/>
      </w:r>
      <w:r w:rsidRPr="007A7444">
        <w:rPr>
          <w:rFonts w:ascii="Arial" w:hAnsi="Arial" w:cs="Arial"/>
          <w:sz w:val="22"/>
          <w:szCs w:val="22"/>
        </w:rPr>
        <w:t>Controls and operating mechanisms</w:t>
      </w:r>
    </w:p>
    <w:p w14:paraId="0406580B" w14:textId="4D3D4C5F" w:rsidR="0039456A" w:rsidRPr="007A7444" w:rsidRDefault="003A1469" w:rsidP="00375A1F">
      <w:pPr>
        <w:pStyle w:val="ListParagraph"/>
        <w:numPr>
          <w:ilvl w:val="0"/>
          <w:numId w:val="20"/>
        </w:numPr>
        <w:tabs>
          <w:tab w:val="left" w:pos="1980"/>
          <w:tab w:val="left" w:pos="3600"/>
          <w:tab w:val="left" w:pos="4320"/>
        </w:tabs>
        <w:ind w:left="2430" w:hanging="180"/>
        <w:rPr>
          <w:rFonts w:ascii="Arial" w:hAnsi="Arial" w:cs="Arial"/>
          <w:sz w:val="22"/>
          <w:szCs w:val="22"/>
        </w:rPr>
      </w:pPr>
      <w:r w:rsidRPr="007A7444">
        <w:rPr>
          <w:rFonts w:ascii="Arial" w:hAnsi="Arial" w:cs="Arial"/>
          <w:sz w:val="22"/>
          <w:szCs w:val="22"/>
        </w:rPr>
        <w:t xml:space="preserve">11B-212 </w:t>
      </w:r>
      <w:r w:rsidR="003A02A5">
        <w:rPr>
          <w:rFonts w:ascii="Arial" w:hAnsi="Arial" w:cs="Arial"/>
          <w:sz w:val="22"/>
          <w:szCs w:val="22"/>
        </w:rPr>
        <w:tab/>
      </w:r>
      <w:r w:rsidRPr="007A7444">
        <w:rPr>
          <w:rFonts w:ascii="Arial" w:hAnsi="Arial" w:cs="Arial"/>
          <w:sz w:val="22"/>
          <w:szCs w:val="22"/>
        </w:rPr>
        <w:t>Kitchens, kitchenettes, wet bars and s</w:t>
      </w:r>
      <w:r w:rsidR="0039456A" w:rsidRPr="007A7444">
        <w:rPr>
          <w:rFonts w:ascii="Arial" w:hAnsi="Arial" w:cs="Arial"/>
          <w:sz w:val="22"/>
          <w:szCs w:val="22"/>
        </w:rPr>
        <w:t>inks</w:t>
      </w:r>
    </w:p>
    <w:p w14:paraId="2504A3CF" w14:textId="21B78477" w:rsidR="00094905" w:rsidRPr="007A7444" w:rsidRDefault="003A1469" w:rsidP="00375A1F">
      <w:pPr>
        <w:pStyle w:val="ListParagraph"/>
        <w:numPr>
          <w:ilvl w:val="0"/>
          <w:numId w:val="20"/>
        </w:numPr>
        <w:tabs>
          <w:tab w:val="left" w:pos="1980"/>
          <w:tab w:val="left" w:pos="3600"/>
          <w:tab w:val="left" w:pos="4320"/>
        </w:tabs>
        <w:ind w:left="2430" w:hanging="180"/>
        <w:rPr>
          <w:rFonts w:ascii="Arial" w:hAnsi="Arial" w:cs="Arial"/>
          <w:sz w:val="22"/>
          <w:szCs w:val="22"/>
        </w:rPr>
      </w:pPr>
      <w:r w:rsidRPr="007A7444">
        <w:rPr>
          <w:rFonts w:ascii="Arial" w:hAnsi="Arial" w:cs="Arial"/>
          <w:sz w:val="22"/>
          <w:szCs w:val="22"/>
        </w:rPr>
        <w:t xml:space="preserve">11B-228.2 </w:t>
      </w:r>
      <w:r w:rsidR="003A02A5">
        <w:rPr>
          <w:rFonts w:ascii="Arial" w:hAnsi="Arial" w:cs="Arial"/>
          <w:sz w:val="22"/>
          <w:szCs w:val="22"/>
        </w:rPr>
        <w:tab/>
      </w:r>
      <w:r w:rsidRPr="007A7444">
        <w:rPr>
          <w:rFonts w:ascii="Arial" w:hAnsi="Arial" w:cs="Arial"/>
          <w:sz w:val="22"/>
          <w:szCs w:val="22"/>
        </w:rPr>
        <w:t>Mail b</w:t>
      </w:r>
      <w:r w:rsidR="00094905" w:rsidRPr="007A7444">
        <w:rPr>
          <w:rFonts w:ascii="Arial" w:hAnsi="Arial" w:cs="Arial"/>
          <w:sz w:val="22"/>
          <w:szCs w:val="22"/>
        </w:rPr>
        <w:t>oxes</w:t>
      </w:r>
    </w:p>
    <w:p w14:paraId="3B8C369D" w14:textId="43A7B3C6" w:rsidR="00094905" w:rsidRPr="007A7444" w:rsidRDefault="00094905" w:rsidP="00375A1F">
      <w:pPr>
        <w:pStyle w:val="ListParagraph"/>
        <w:numPr>
          <w:ilvl w:val="0"/>
          <w:numId w:val="20"/>
        </w:numPr>
        <w:tabs>
          <w:tab w:val="left" w:pos="1980"/>
          <w:tab w:val="left" w:pos="3600"/>
          <w:tab w:val="left" w:pos="4320"/>
        </w:tabs>
        <w:ind w:left="2430" w:hanging="180"/>
        <w:rPr>
          <w:rFonts w:ascii="Arial" w:hAnsi="Arial" w:cs="Arial"/>
          <w:sz w:val="22"/>
          <w:szCs w:val="22"/>
        </w:rPr>
      </w:pPr>
      <w:r w:rsidRPr="007A7444">
        <w:rPr>
          <w:rFonts w:ascii="Arial" w:hAnsi="Arial" w:cs="Arial"/>
          <w:sz w:val="22"/>
          <w:szCs w:val="22"/>
        </w:rPr>
        <w:t xml:space="preserve">11B-309 </w:t>
      </w:r>
      <w:r w:rsidR="003A02A5">
        <w:rPr>
          <w:rFonts w:ascii="Arial" w:hAnsi="Arial" w:cs="Arial"/>
          <w:sz w:val="22"/>
          <w:szCs w:val="22"/>
        </w:rPr>
        <w:tab/>
      </w:r>
      <w:r w:rsidRPr="007A7444">
        <w:rPr>
          <w:rFonts w:ascii="Arial" w:hAnsi="Arial" w:cs="Arial"/>
          <w:sz w:val="22"/>
          <w:szCs w:val="22"/>
        </w:rPr>
        <w:t>Operable parts</w:t>
      </w:r>
    </w:p>
    <w:p w14:paraId="026C47BC" w14:textId="13A895EA" w:rsidR="0039456A" w:rsidRPr="007A7444" w:rsidRDefault="003A1469" w:rsidP="00375A1F">
      <w:pPr>
        <w:pStyle w:val="ListParagraph"/>
        <w:numPr>
          <w:ilvl w:val="0"/>
          <w:numId w:val="20"/>
        </w:numPr>
        <w:tabs>
          <w:tab w:val="left" w:pos="1980"/>
          <w:tab w:val="left" w:pos="3600"/>
          <w:tab w:val="left" w:pos="4320"/>
        </w:tabs>
        <w:ind w:left="2430" w:hanging="180"/>
        <w:rPr>
          <w:rFonts w:ascii="Arial" w:hAnsi="Arial" w:cs="Arial"/>
          <w:sz w:val="22"/>
          <w:szCs w:val="22"/>
        </w:rPr>
      </w:pPr>
      <w:r w:rsidRPr="007A7444">
        <w:rPr>
          <w:rFonts w:ascii="Arial" w:hAnsi="Arial" w:cs="Arial"/>
          <w:sz w:val="22"/>
          <w:szCs w:val="22"/>
        </w:rPr>
        <w:t xml:space="preserve">11B-606 </w:t>
      </w:r>
      <w:r w:rsidR="003A02A5">
        <w:rPr>
          <w:rFonts w:ascii="Arial" w:hAnsi="Arial" w:cs="Arial"/>
          <w:sz w:val="22"/>
          <w:szCs w:val="22"/>
        </w:rPr>
        <w:tab/>
      </w:r>
      <w:r w:rsidRPr="007A7444">
        <w:rPr>
          <w:rFonts w:ascii="Arial" w:hAnsi="Arial" w:cs="Arial"/>
          <w:sz w:val="22"/>
          <w:szCs w:val="22"/>
        </w:rPr>
        <w:t>Lavatories and s</w:t>
      </w:r>
      <w:r w:rsidR="0039456A" w:rsidRPr="007A7444">
        <w:rPr>
          <w:rFonts w:ascii="Arial" w:hAnsi="Arial" w:cs="Arial"/>
          <w:sz w:val="22"/>
          <w:szCs w:val="22"/>
        </w:rPr>
        <w:t>inks</w:t>
      </w:r>
    </w:p>
    <w:p w14:paraId="0F08B172" w14:textId="458BE376" w:rsidR="0039456A" w:rsidRPr="007A7444" w:rsidRDefault="003A1469" w:rsidP="00375A1F">
      <w:pPr>
        <w:pStyle w:val="ListParagraph"/>
        <w:numPr>
          <w:ilvl w:val="0"/>
          <w:numId w:val="20"/>
        </w:numPr>
        <w:tabs>
          <w:tab w:val="left" w:pos="1980"/>
          <w:tab w:val="left" w:pos="3600"/>
          <w:tab w:val="left" w:pos="4320"/>
        </w:tabs>
        <w:ind w:left="2430" w:hanging="180"/>
        <w:rPr>
          <w:rFonts w:ascii="Arial" w:hAnsi="Arial" w:cs="Arial"/>
          <w:sz w:val="22"/>
          <w:szCs w:val="22"/>
        </w:rPr>
      </w:pPr>
      <w:r w:rsidRPr="007A7444">
        <w:rPr>
          <w:rFonts w:ascii="Arial" w:hAnsi="Arial" w:cs="Arial"/>
          <w:sz w:val="22"/>
          <w:szCs w:val="22"/>
        </w:rPr>
        <w:t>11B-804</w:t>
      </w:r>
      <w:r w:rsidR="003A02A5">
        <w:rPr>
          <w:rFonts w:ascii="Arial" w:hAnsi="Arial" w:cs="Arial"/>
          <w:sz w:val="22"/>
          <w:szCs w:val="22"/>
        </w:rPr>
        <w:tab/>
      </w:r>
      <w:r w:rsidRPr="007A7444">
        <w:rPr>
          <w:rFonts w:ascii="Arial" w:hAnsi="Arial" w:cs="Arial"/>
          <w:sz w:val="22"/>
          <w:szCs w:val="22"/>
        </w:rPr>
        <w:t xml:space="preserve"> Kitchens, kitchenettes, and wet b</w:t>
      </w:r>
      <w:r w:rsidR="0039456A" w:rsidRPr="007A7444">
        <w:rPr>
          <w:rFonts w:ascii="Arial" w:hAnsi="Arial" w:cs="Arial"/>
          <w:sz w:val="22"/>
          <w:szCs w:val="22"/>
        </w:rPr>
        <w:t>ars</w:t>
      </w:r>
    </w:p>
    <w:p w14:paraId="3E32898D" w14:textId="04EE8E14" w:rsidR="00094905" w:rsidRPr="007A7444" w:rsidRDefault="00094905" w:rsidP="00375A1F">
      <w:pPr>
        <w:pStyle w:val="ListParagraph"/>
        <w:numPr>
          <w:ilvl w:val="0"/>
          <w:numId w:val="20"/>
        </w:numPr>
        <w:tabs>
          <w:tab w:val="left" w:pos="1980"/>
          <w:tab w:val="left" w:pos="3600"/>
          <w:tab w:val="left" w:pos="4410"/>
        </w:tabs>
        <w:ind w:left="2430" w:hanging="180"/>
        <w:rPr>
          <w:rFonts w:ascii="Arial" w:hAnsi="Arial" w:cs="Arial"/>
          <w:sz w:val="22"/>
          <w:szCs w:val="22"/>
        </w:rPr>
      </w:pPr>
      <w:r w:rsidRPr="007A7444">
        <w:rPr>
          <w:rFonts w:ascii="Arial" w:hAnsi="Arial" w:cs="Arial"/>
          <w:sz w:val="22"/>
          <w:szCs w:val="22"/>
        </w:rPr>
        <w:t xml:space="preserve">11B-809.5.5.2 </w:t>
      </w:r>
      <w:r w:rsidR="003A1469" w:rsidRPr="007A7444">
        <w:rPr>
          <w:rFonts w:ascii="Arial" w:hAnsi="Arial" w:cs="Arial"/>
          <w:sz w:val="22"/>
          <w:szCs w:val="22"/>
        </w:rPr>
        <w:t>Identification</w:t>
      </w:r>
    </w:p>
    <w:p w14:paraId="5B8C1418" w14:textId="5EE56040" w:rsidR="000B7C07" w:rsidRPr="007A7444" w:rsidRDefault="00375A1F" w:rsidP="00375A1F">
      <w:pPr>
        <w:tabs>
          <w:tab w:val="left" w:pos="1980"/>
        </w:tabs>
        <w:ind w:left="2250" w:hanging="2610"/>
        <w:rPr>
          <w:rFonts w:ascii="Arial" w:hAnsi="Arial" w:cs="Arial"/>
          <w:b/>
          <w:sz w:val="22"/>
          <w:szCs w:val="22"/>
        </w:rPr>
      </w:pPr>
      <w:r>
        <w:rPr>
          <w:rFonts w:ascii="Arial" w:hAnsi="Arial" w:cs="Arial"/>
          <w:b/>
          <w:sz w:val="22"/>
          <w:szCs w:val="22"/>
        </w:rPr>
        <w:tab/>
      </w:r>
      <w:r w:rsidR="000B7C07" w:rsidRPr="007A7444">
        <w:rPr>
          <w:rFonts w:ascii="Arial" w:hAnsi="Arial" w:cs="Arial"/>
          <w:b/>
          <w:sz w:val="22"/>
          <w:szCs w:val="22"/>
        </w:rPr>
        <w:t>A New Horizon Ac</w:t>
      </w:r>
      <w:r w:rsidR="003A1469" w:rsidRPr="007A7444">
        <w:rPr>
          <w:rFonts w:ascii="Arial" w:hAnsi="Arial" w:cs="Arial"/>
          <w:b/>
          <w:sz w:val="22"/>
          <w:szCs w:val="22"/>
        </w:rPr>
        <w:t>cessible /</w:t>
      </w:r>
      <w:r w:rsidR="009565EB">
        <w:rPr>
          <w:rFonts w:ascii="Arial" w:hAnsi="Arial" w:cs="Arial"/>
          <w:b/>
          <w:sz w:val="22"/>
          <w:szCs w:val="22"/>
        </w:rPr>
        <w:t xml:space="preserve"> </w:t>
      </w:r>
      <w:r w:rsidR="003A1469" w:rsidRPr="007A7444">
        <w:rPr>
          <w:rFonts w:ascii="Arial" w:hAnsi="Arial" w:cs="Arial"/>
          <w:b/>
          <w:sz w:val="22"/>
          <w:szCs w:val="22"/>
        </w:rPr>
        <w:t>Adaptable Apartments for t</w:t>
      </w:r>
      <w:r>
        <w:rPr>
          <w:rFonts w:ascii="Arial" w:hAnsi="Arial" w:cs="Arial"/>
          <w:b/>
          <w:sz w:val="22"/>
          <w:szCs w:val="22"/>
        </w:rPr>
        <w:t xml:space="preserve">he Physically </w:t>
      </w:r>
      <w:r w:rsidR="000B7C07" w:rsidRPr="007A7444">
        <w:rPr>
          <w:rFonts w:ascii="Arial" w:hAnsi="Arial" w:cs="Arial"/>
          <w:b/>
          <w:sz w:val="22"/>
          <w:szCs w:val="22"/>
        </w:rPr>
        <w:t>Disabled</w:t>
      </w:r>
    </w:p>
    <w:p w14:paraId="27EBB79C" w14:textId="22449D5E" w:rsidR="000B7C07" w:rsidRPr="007A7444" w:rsidRDefault="00375A1F" w:rsidP="00375A1F">
      <w:pPr>
        <w:tabs>
          <w:tab w:val="left" w:pos="1980"/>
          <w:tab w:val="left" w:pos="2610"/>
        </w:tabs>
        <w:ind w:left="2070" w:hanging="2430"/>
        <w:rPr>
          <w:rFonts w:ascii="Arial" w:hAnsi="Arial" w:cs="Arial"/>
          <w:b/>
          <w:sz w:val="22"/>
          <w:szCs w:val="22"/>
        </w:rPr>
      </w:pPr>
      <w:r>
        <w:rPr>
          <w:rFonts w:ascii="Arial" w:hAnsi="Arial" w:cs="Arial"/>
          <w:b/>
          <w:sz w:val="22"/>
          <w:szCs w:val="22"/>
        </w:rPr>
        <w:tab/>
      </w:r>
      <w:r w:rsidR="000B7C07" w:rsidRPr="007A7444">
        <w:rPr>
          <w:rFonts w:ascii="Arial" w:hAnsi="Arial" w:cs="Arial"/>
          <w:b/>
          <w:sz w:val="22"/>
          <w:szCs w:val="22"/>
        </w:rPr>
        <w:t>ANSI A117.1 – 1986</w:t>
      </w:r>
    </w:p>
    <w:p w14:paraId="18EF9BD0" w14:textId="3D55DB04" w:rsidR="000B7C07" w:rsidRPr="007A7444" w:rsidRDefault="00375A1F" w:rsidP="00375A1F">
      <w:pPr>
        <w:tabs>
          <w:tab w:val="left" w:pos="1980"/>
          <w:tab w:val="left" w:pos="2610"/>
        </w:tabs>
        <w:ind w:left="2070" w:hanging="2430"/>
        <w:rPr>
          <w:rFonts w:ascii="Arial" w:hAnsi="Arial" w:cs="Arial"/>
          <w:b/>
          <w:sz w:val="22"/>
          <w:szCs w:val="22"/>
        </w:rPr>
      </w:pPr>
      <w:r>
        <w:rPr>
          <w:rFonts w:ascii="Arial" w:hAnsi="Arial" w:cs="Arial"/>
          <w:b/>
          <w:sz w:val="22"/>
          <w:szCs w:val="22"/>
        </w:rPr>
        <w:tab/>
      </w:r>
      <w:r w:rsidR="000B7C07" w:rsidRPr="007A7444">
        <w:rPr>
          <w:rFonts w:ascii="Arial" w:hAnsi="Arial" w:cs="Arial"/>
          <w:b/>
          <w:sz w:val="22"/>
          <w:szCs w:val="22"/>
        </w:rPr>
        <w:t>Fair Housing Act Design Manual</w:t>
      </w:r>
    </w:p>
    <w:p w14:paraId="30E54197" w14:textId="77777777" w:rsidR="00094905" w:rsidRPr="007A7444" w:rsidRDefault="00094905" w:rsidP="00854F0C">
      <w:pPr>
        <w:tabs>
          <w:tab w:val="left" w:pos="1980"/>
          <w:tab w:val="left" w:pos="2610"/>
        </w:tabs>
        <w:ind w:left="1620" w:hanging="1980"/>
        <w:rPr>
          <w:rFonts w:ascii="Arial" w:hAnsi="Arial" w:cs="Arial"/>
          <w:b/>
          <w:sz w:val="22"/>
          <w:szCs w:val="22"/>
        </w:rPr>
      </w:pPr>
    </w:p>
    <w:p w14:paraId="394B0ED8" w14:textId="755F3567" w:rsidR="003A02A5" w:rsidRDefault="003474D3" w:rsidP="00375A1F">
      <w:pPr>
        <w:tabs>
          <w:tab w:val="left" w:pos="1620"/>
          <w:tab w:val="left" w:pos="1980"/>
          <w:tab w:val="left" w:pos="2340"/>
        </w:tabs>
        <w:ind w:left="1980" w:hanging="2340"/>
        <w:rPr>
          <w:rFonts w:ascii="Arial" w:hAnsi="Arial" w:cs="Arial"/>
          <w:sz w:val="22"/>
          <w:szCs w:val="22"/>
        </w:rPr>
      </w:pPr>
      <w:r w:rsidRPr="007A7444">
        <w:rPr>
          <w:rFonts w:ascii="Arial" w:hAnsi="Arial" w:cs="Arial"/>
          <w:b/>
          <w:bCs/>
          <w:sz w:val="22"/>
          <w:szCs w:val="22"/>
        </w:rPr>
        <w:t>INTENT</w:t>
      </w:r>
      <w:r w:rsidR="00762A98" w:rsidRPr="007A7444">
        <w:rPr>
          <w:rFonts w:ascii="Arial" w:hAnsi="Arial" w:cs="Arial" w:hint="eastAsia"/>
          <w:b/>
          <w:bCs/>
          <w:sz w:val="22"/>
          <w:szCs w:val="22"/>
          <w:lang w:eastAsia="zh-TW"/>
        </w:rPr>
        <w:tab/>
      </w:r>
      <w:r w:rsidR="00C956DB" w:rsidRPr="007A7444">
        <w:rPr>
          <w:rFonts w:ascii="Arial" w:hAnsi="Arial" w:cs="Arial" w:hint="eastAsia"/>
          <w:b/>
          <w:bCs/>
          <w:sz w:val="22"/>
          <w:szCs w:val="22"/>
          <w:lang w:eastAsia="zh-TW"/>
        </w:rPr>
        <w:t>:</w:t>
      </w:r>
      <w:r w:rsidRPr="007A7444">
        <w:rPr>
          <w:rFonts w:ascii="Arial" w:hAnsi="Arial" w:cs="Arial"/>
          <w:b/>
          <w:bCs/>
          <w:sz w:val="22"/>
          <w:szCs w:val="22"/>
        </w:rPr>
        <w:t xml:space="preserve">   </w:t>
      </w:r>
      <w:r w:rsidR="00375A1F">
        <w:rPr>
          <w:rFonts w:ascii="Arial" w:hAnsi="Arial" w:cs="Arial"/>
          <w:b/>
          <w:bCs/>
          <w:sz w:val="22"/>
          <w:szCs w:val="22"/>
        </w:rPr>
        <w:tab/>
      </w:r>
      <w:r w:rsidR="00714505" w:rsidRPr="007A7444">
        <w:rPr>
          <w:rFonts w:ascii="Arial" w:hAnsi="Arial" w:cs="Arial"/>
          <w:sz w:val="22"/>
          <w:szCs w:val="22"/>
        </w:rPr>
        <w:t xml:space="preserve">To </w:t>
      </w:r>
      <w:r w:rsidR="00A46535" w:rsidRPr="007A7444">
        <w:rPr>
          <w:rFonts w:ascii="Arial" w:hAnsi="Arial" w:cs="Arial"/>
          <w:sz w:val="22"/>
          <w:szCs w:val="22"/>
        </w:rPr>
        <w:t>clarify the requirements for covered multi-family</w:t>
      </w:r>
      <w:r w:rsidR="003A02A5">
        <w:rPr>
          <w:rFonts w:ascii="Arial" w:hAnsi="Arial" w:cs="Arial"/>
          <w:sz w:val="22"/>
          <w:szCs w:val="22"/>
        </w:rPr>
        <w:t xml:space="preserve"> dwellings common area kitchens,</w:t>
      </w:r>
      <w:r w:rsidR="00A46535" w:rsidRPr="007A7444">
        <w:rPr>
          <w:rFonts w:ascii="Arial" w:hAnsi="Arial" w:cs="Arial"/>
          <w:sz w:val="22"/>
          <w:szCs w:val="22"/>
        </w:rPr>
        <w:t xml:space="preserve"> the requirements </w:t>
      </w:r>
      <w:r w:rsidR="004E4900">
        <w:rPr>
          <w:rFonts w:ascii="Arial" w:hAnsi="Arial" w:cs="Arial"/>
          <w:sz w:val="22"/>
          <w:szCs w:val="22"/>
        </w:rPr>
        <w:t xml:space="preserve">for </w:t>
      </w:r>
      <w:r w:rsidR="00A46535" w:rsidRPr="007A7444">
        <w:rPr>
          <w:rFonts w:ascii="Arial" w:hAnsi="Arial" w:cs="Arial"/>
          <w:sz w:val="22"/>
          <w:szCs w:val="22"/>
        </w:rPr>
        <w:t xml:space="preserve">the installation of garbage disposals in covered dwelling unit kitchen sinks, the requirements for accessible showers within covered </w:t>
      </w:r>
      <w:proofErr w:type="gramStart"/>
      <w:r w:rsidR="00A46535" w:rsidRPr="007A7444">
        <w:rPr>
          <w:rFonts w:ascii="Arial" w:hAnsi="Arial" w:cs="Arial"/>
          <w:sz w:val="22"/>
          <w:szCs w:val="22"/>
        </w:rPr>
        <w:t>dwelling</w:t>
      </w:r>
      <w:proofErr w:type="gramEnd"/>
      <w:r w:rsidR="00A46535" w:rsidRPr="007A7444">
        <w:rPr>
          <w:rFonts w:ascii="Arial" w:hAnsi="Arial" w:cs="Arial"/>
          <w:sz w:val="22"/>
          <w:szCs w:val="22"/>
        </w:rPr>
        <w:t xml:space="preserve"> units, and the requirements for door bell and door viewer port locations at main entry doors of covered dwelling units.</w:t>
      </w:r>
      <w:r w:rsidR="009565EB">
        <w:rPr>
          <w:rFonts w:ascii="Arial" w:hAnsi="Arial" w:cs="Arial"/>
          <w:sz w:val="22"/>
          <w:szCs w:val="22"/>
        </w:rPr>
        <w:t xml:space="preserve"> </w:t>
      </w:r>
    </w:p>
    <w:p w14:paraId="0500A212" w14:textId="77777777" w:rsidR="003A02A5" w:rsidRDefault="003A02A5" w:rsidP="00375A1F">
      <w:pPr>
        <w:tabs>
          <w:tab w:val="left" w:pos="1620"/>
          <w:tab w:val="left" w:pos="1980"/>
          <w:tab w:val="left" w:pos="2340"/>
        </w:tabs>
        <w:ind w:left="1980" w:hanging="2340"/>
        <w:rPr>
          <w:rFonts w:ascii="Arial" w:hAnsi="Arial" w:cs="Arial"/>
          <w:sz w:val="22"/>
          <w:szCs w:val="22"/>
        </w:rPr>
      </w:pPr>
    </w:p>
    <w:p w14:paraId="466EA415" w14:textId="79CC032D" w:rsidR="00A46535" w:rsidRPr="007A7444" w:rsidRDefault="003A02A5" w:rsidP="00375A1F">
      <w:pPr>
        <w:tabs>
          <w:tab w:val="left" w:pos="1620"/>
          <w:tab w:val="left" w:pos="1980"/>
          <w:tab w:val="left" w:pos="2340"/>
        </w:tabs>
        <w:ind w:left="1980" w:hanging="2340"/>
        <w:rPr>
          <w:rFonts w:ascii="Arial" w:hAnsi="Arial" w:cs="Arial"/>
          <w:sz w:val="22"/>
          <w:szCs w:val="22"/>
        </w:rPr>
      </w:pPr>
      <w:r>
        <w:rPr>
          <w:rFonts w:ascii="Arial" w:hAnsi="Arial" w:cs="Arial"/>
          <w:sz w:val="22"/>
          <w:szCs w:val="22"/>
        </w:rPr>
        <w:tab/>
      </w:r>
      <w:r>
        <w:rPr>
          <w:rFonts w:ascii="Arial" w:hAnsi="Arial" w:cs="Arial"/>
          <w:sz w:val="22"/>
          <w:szCs w:val="22"/>
        </w:rPr>
        <w:tab/>
      </w:r>
      <w:r w:rsidR="009565EB">
        <w:rPr>
          <w:rFonts w:ascii="Arial" w:hAnsi="Arial" w:cs="Arial"/>
          <w:sz w:val="22"/>
          <w:szCs w:val="22"/>
        </w:rPr>
        <w:t>This Information S</w:t>
      </w:r>
      <w:r w:rsidR="00413739">
        <w:rPr>
          <w:rFonts w:ascii="Arial" w:hAnsi="Arial" w:cs="Arial"/>
          <w:sz w:val="22"/>
          <w:szCs w:val="22"/>
        </w:rPr>
        <w:t>heet is not retroactive and shall be effective from the date of adoption forward.</w:t>
      </w:r>
    </w:p>
    <w:p w14:paraId="45F3B215" w14:textId="77777777" w:rsidR="00C03318" w:rsidRDefault="00C03318" w:rsidP="00854F0C">
      <w:pPr>
        <w:tabs>
          <w:tab w:val="left" w:pos="0"/>
          <w:tab w:val="left" w:pos="1980"/>
          <w:tab w:val="left" w:pos="2340"/>
          <w:tab w:val="left" w:pos="2610"/>
        </w:tabs>
        <w:ind w:left="1620" w:hanging="1980"/>
        <w:rPr>
          <w:rFonts w:ascii="Arial" w:hAnsi="Arial" w:cs="Arial"/>
          <w:b/>
          <w:color w:val="000000" w:themeColor="text1"/>
          <w:sz w:val="22"/>
          <w:szCs w:val="22"/>
        </w:rPr>
      </w:pPr>
    </w:p>
    <w:p w14:paraId="26F7BD10" w14:textId="2FE0F88B" w:rsidR="0041764B" w:rsidRPr="007A7444" w:rsidRDefault="00D07543" w:rsidP="00375A1F">
      <w:pPr>
        <w:tabs>
          <w:tab w:val="left" w:pos="0"/>
          <w:tab w:val="left" w:pos="1620"/>
          <w:tab w:val="left" w:pos="1980"/>
          <w:tab w:val="left" w:pos="2340"/>
          <w:tab w:val="left" w:pos="2610"/>
        </w:tabs>
        <w:ind w:left="-360"/>
        <w:rPr>
          <w:rFonts w:ascii="Arial" w:hAnsi="Arial" w:cs="Arial"/>
          <w:b/>
          <w:color w:val="000000" w:themeColor="text1"/>
          <w:sz w:val="22"/>
          <w:szCs w:val="22"/>
        </w:rPr>
      </w:pPr>
      <w:r w:rsidRPr="007A7444">
        <w:rPr>
          <w:rFonts w:ascii="Arial" w:hAnsi="Arial" w:cs="Arial"/>
          <w:b/>
          <w:color w:val="000000" w:themeColor="text1"/>
          <w:sz w:val="22"/>
          <w:szCs w:val="22"/>
        </w:rPr>
        <w:t>DISCUSSION</w:t>
      </w:r>
      <w:r w:rsidR="003474D3" w:rsidRPr="007A7444">
        <w:rPr>
          <w:rFonts w:ascii="Arial" w:hAnsi="Arial" w:cs="Arial"/>
          <w:color w:val="000000" w:themeColor="text1"/>
          <w:sz w:val="22"/>
          <w:szCs w:val="22"/>
        </w:rPr>
        <w:t xml:space="preserve">    </w:t>
      </w:r>
      <w:r w:rsidR="008F43EA" w:rsidRPr="007A7444">
        <w:rPr>
          <w:rFonts w:ascii="Arial" w:hAnsi="Arial" w:cs="Arial"/>
          <w:color w:val="000000" w:themeColor="text1"/>
          <w:sz w:val="22"/>
          <w:szCs w:val="22"/>
        </w:rPr>
        <w:tab/>
      </w:r>
      <w:r w:rsidRPr="007A7444">
        <w:rPr>
          <w:rFonts w:ascii="Arial" w:hAnsi="Arial" w:cs="Arial"/>
          <w:b/>
          <w:color w:val="000000" w:themeColor="text1"/>
          <w:sz w:val="22"/>
          <w:szCs w:val="22"/>
        </w:rPr>
        <w:t>:</w:t>
      </w:r>
      <w:r w:rsidR="009A60B2" w:rsidRPr="007A7444">
        <w:rPr>
          <w:rFonts w:ascii="Arial" w:hAnsi="Arial" w:cs="Arial"/>
          <w:b/>
          <w:color w:val="000000" w:themeColor="text1"/>
          <w:sz w:val="22"/>
          <w:szCs w:val="22"/>
        </w:rPr>
        <w:t xml:space="preserve"> </w:t>
      </w:r>
      <w:r w:rsidR="00B13781" w:rsidRPr="007A7444">
        <w:rPr>
          <w:rFonts w:ascii="Arial" w:hAnsi="Arial" w:cs="Arial"/>
          <w:b/>
          <w:color w:val="000000" w:themeColor="text1"/>
          <w:sz w:val="22"/>
          <w:szCs w:val="22"/>
        </w:rPr>
        <w:t xml:space="preserve">  </w:t>
      </w:r>
      <w:r w:rsidR="00375A1F">
        <w:rPr>
          <w:rFonts w:ascii="Arial" w:hAnsi="Arial" w:cs="Arial"/>
          <w:b/>
          <w:color w:val="000000" w:themeColor="text1"/>
          <w:sz w:val="22"/>
          <w:szCs w:val="22"/>
        </w:rPr>
        <w:tab/>
      </w:r>
      <w:r w:rsidR="00E5704E" w:rsidRPr="007A7444">
        <w:rPr>
          <w:rFonts w:ascii="Arial" w:hAnsi="Arial" w:cs="Arial"/>
          <w:color w:val="000000" w:themeColor="text1"/>
          <w:sz w:val="22"/>
          <w:szCs w:val="22"/>
        </w:rPr>
        <w:t>Please note that this Information S</w:t>
      </w:r>
      <w:r w:rsidR="0041764B" w:rsidRPr="007A7444">
        <w:rPr>
          <w:rFonts w:ascii="Arial" w:hAnsi="Arial" w:cs="Arial"/>
          <w:color w:val="000000" w:themeColor="text1"/>
          <w:sz w:val="22"/>
          <w:szCs w:val="22"/>
        </w:rPr>
        <w:t>heet a</w:t>
      </w:r>
      <w:r w:rsidR="00E5704E" w:rsidRPr="007A7444">
        <w:rPr>
          <w:rFonts w:ascii="Arial" w:hAnsi="Arial" w:cs="Arial"/>
          <w:color w:val="000000" w:themeColor="text1"/>
          <w:sz w:val="22"/>
          <w:szCs w:val="22"/>
        </w:rPr>
        <w:t>pplies exclusively to privately-</w:t>
      </w:r>
      <w:r w:rsidR="0041764B" w:rsidRPr="007A7444">
        <w:rPr>
          <w:rFonts w:ascii="Arial" w:hAnsi="Arial" w:cs="Arial"/>
          <w:color w:val="000000" w:themeColor="text1"/>
          <w:sz w:val="22"/>
          <w:szCs w:val="22"/>
        </w:rPr>
        <w:t>funded multi-family dwellings. For publically funded dwellings</w:t>
      </w:r>
      <w:r w:rsidR="009565EB">
        <w:rPr>
          <w:rFonts w:ascii="Arial" w:hAnsi="Arial" w:cs="Arial"/>
          <w:color w:val="000000" w:themeColor="text1"/>
          <w:sz w:val="22"/>
          <w:szCs w:val="22"/>
        </w:rPr>
        <w:t>,</w:t>
      </w:r>
      <w:r w:rsidR="0041764B" w:rsidRPr="007A7444">
        <w:rPr>
          <w:rFonts w:ascii="Arial" w:hAnsi="Arial" w:cs="Arial"/>
          <w:color w:val="000000" w:themeColor="text1"/>
          <w:sz w:val="22"/>
          <w:szCs w:val="22"/>
        </w:rPr>
        <w:t xml:space="preserve"> please consult </w:t>
      </w:r>
      <w:r w:rsidR="00B778F1" w:rsidRPr="007A7444">
        <w:rPr>
          <w:rFonts w:ascii="Arial" w:hAnsi="Arial" w:cs="Arial"/>
          <w:color w:val="000000" w:themeColor="text1"/>
          <w:sz w:val="22"/>
          <w:szCs w:val="22"/>
        </w:rPr>
        <w:t xml:space="preserve">Chapter 11B </w:t>
      </w:r>
      <w:r w:rsidR="0041764B" w:rsidRPr="007A7444">
        <w:rPr>
          <w:rFonts w:ascii="Arial" w:hAnsi="Arial" w:cs="Arial"/>
          <w:color w:val="000000" w:themeColor="text1"/>
          <w:sz w:val="22"/>
          <w:szCs w:val="22"/>
        </w:rPr>
        <w:t>with the Mayor’s Office on Disabilities</w:t>
      </w:r>
      <w:r w:rsidR="0041764B" w:rsidRPr="007A7444">
        <w:rPr>
          <w:rFonts w:ascii="Arial" w:hAnsi="Arial" w:cs="Arial"/>
          <w:b/>
          <w:color w:val="000000" w:themeColor="text1"/>
          <w:sz w:val="22"/>
          <w:szCs w:val="22"/>
        </w:rPr>
        <w:t>.</w:t>
      </w:r>
    </w:p>
    <w:p w14:paraId="091CCD88" w14:textId="62BC1E4C" w:rsidR="00DD2080" w:rsidRPr="007A7444" w:rsidRDefault="00A46535" w:rsidP="00375A1F">
      <w:pPr>
        <w:tabs>
          <w:tab w:val="left" w:pos="1980"/>
          <w:tab w:val="left" w:pos="2340"/>
          <w:tab w:val="left" w:pos="2610"/>
        </w:tabs>
        <w:ind w:left="-360"/>
        <w:rPr>
          <w:rFonts w:ascii="Arial" w:hAnsi="Arial" w:cs="Arial"/>
          <w:color w:val="000000" w:themeColor="text1"/>
          <w:sz w:val="22"/>
          <w:szCs w:val="22"/>
        </w:rPr>
      </w:pPr>
      <w:r w:rsidRPr="007A7444">
        <w:rPr>
          <w:rFonts w:ascii="Arial" w:hAnsi="Arial" w:cs="Arial"/>
          <w:color w:val="000000" w:themeColor="text1"/>
          <w:sz w:val="22"/>
          <w:szCs w:val="22"/>
        </w:rPr>
        <w:lastRenderedPageBreak/>
        <w:t>Because California had accessibility standards in place at the time of the adoption of the Federal Fair Housing Amendments A</w:t>
      </w:r>
      <w:r w:rsidR="009565EB">
        <w:rPr>
          <w:rFonts w:ascii="Arial" w:hAnsi="Arial" w:cs="Arial"/>
          <w:color w:val="000000" w:themeColor="text1"/>
          <w:sz w:val="22"/>
          <w:szCs w:val="22"/>
        </w:rPr>
        <w:t>ct,</w:t>
      </w:r>
      <w:r w:rsidRPr="007A7444">
        <w:rPr>
          <w:rFonts w:ascii="Arial" w:hAnsi="Arial" w:cs="Arial"/>
          <w:color w:val="000000" w:themeColor="text1"/>
          <w:sz w:val="22"/>
          <w:szCs w:val="22"/>
        </w:rPr>
        <w:t xml:space="preserve"> California Building Code Chapter 11A contains </w:t>
      </w:r>
      <w:r w:rsidR="00B637D6" w:rsidRPr="007A7444">
        <w:rPr>
          <w:rFonts w:ascii="Arial" w:hAnsi="Arial" w:cs="Arial"/>
          <w:color w:val="000000" w:themeColor="text1"/>
          <w:sz w:val="22"/>
          <w:szCs w:val="22"/>
        </w:rPr>
        <w:t>a number of regulations that differ from and are often considered more restrictive than the Federal statutes. This has often become the source of misunderstanding and confusion for many users when designing multi-family dwellings in California. Additionally</w:t>
      </w:r>
      <w:r w:rsidR="00E5704E" w:rsidRPr="007A7444">
        <w:rPr>
          <w:rFonts w:ascii="Arial" w:hAnsi="Arial" w:cs="Arial"/>
          <w:color w:val="000000" w:themeColor="text1"/>
          <w:sz w:val="22"/>
          <w:szCs w:val="22"/>
        </w:rPr>
        <w:t>, much of the language used in C</w:t>
      </w:r>
      <w:r w:rsidR="00B637D6" w:rsidRPr="007A7444">
        <w:rPr>
          <w:rFonts w:ascii="Arial" w:hAnsi="Arial" w:cs="Arial"/>
          <w:color w:val="000000" w:themeColor="text1"/>
          <w:sz w:val="22"/>
          <w:szCs w:val="22"/>
        </w:rPr>
        <w:t xml:space="preserve">hapter 11A is vague and unclear. This has led to some </w:t>
      </w:r>
      <w:r w:rsidR="0041764B" w:rsidRPr="007A7444">
        <w:rPr>
          <w:rFonts w:ascii="Arial" w:hAnsi="Arial" w:cs="Arial"/>
          <w:color w:val="000000" w:themeColor="text1"/>
          <w:sz w:val="22"/>
          <w:szCs w:val="22"/>
        </w:rPr>
        <w:t>disagreement</w:t>
      </w:r>
      <w:r w:rsidR="003A02A5">
        <w:rPr>
          <w:rFonts w:ascii="Arial" w:hAnsi="Arial" w:cs="Arial"/>
          <w:color w:val="000000" w:themeColor="text1"/>
          <w:sz w:val="22"/>
          <w:szCs w:val="22"/>
        </w:rPr>
        <w:t>s</w:t>
      </w:r>
      <w:r w:rsidR="0041764B" w:rsidRPr="007A7444">
        <w:rPr>
          <w:rFonts w:ascii="Arial" w:hAnsi="Arial" w:cs="Arial"/>
          <w:color w:val="000000" w:themeColor="text1"/>
          <w:sz w:val="22"/>
          <w:szCs w:val="22"/>
        </w:rPr>
        <w:t xml:space="preserve"> of the</w:t>
      </w:r>
      <w:r w:rsidR="00B637D6" w:rsidRPr="007A7444">
        <w:rPr>
          <w:rFonts w:ascii="Arial" w:hAnsi="Arial" w:cs="Arial"/>
          <w:color w:val="000000" w:themeColor="text1"/>
          <w:sz w:val="22"/>
          <w:szCs w:val="22"/>
        </w:rPr>
        <w:t xml:space="preserve"> code</w:t>
      </w:r>
      <w:r w:rsidR="003A02A5">
        <w:rPr>
          <w:rFonts w:ascii="Arial" w:hAnsi="Arial" w:cs="Arial"/>
          <w:color w:val="000000" w:themeColor="text1"/>
          <w:sz w:val="22"/>
          <w:szCs w:val="22"/>
        </w:rPr>
        <w:t>’</w:t>
      </w:r>
      <w:r w:rsidR="00B637D6" w:rsidRPr="007A7444">
        <w:rPr>
          <w:rFonts w:ascii="Arial" w:hAnsi="Arial" w:cs="Arial"/>
          <w:color w:val="000000" w:themeColor="text1"/>
          <w:sz w:val="22"/>
          <w:szCs w:val="22"/>
        </w:rPr>
        <w:t>s intent between designers and plan reviewers, contractor</w:t>
      </w:r>
      <w:r w:rsidR="00E5704E" w:rsidRPr="007A7444">
        <w:rPr>
          <w:rFonts w:ascii="Arial" w:hAnsi="Arial" w:cs="Arial"/>
          <w:color w:val="000000" w:themeColor="text1"/>
          <w:sz w:val="22"/>
          <w:szCs w:val="22"/>
        </w:rPr>
        <w:t>s</w:t>
      </w:r>
      <w:r w:rsidR="003A02A5">
        <w:rPr>
          <w:rFonts w:ascii="Arial" w:hAnsi="Arial" w:cs="Arial"/>
          <w:color w:val="000000" w:themeColor="text1"/>
          <w:sz w:val="22"/>
          <w:szCs w:val="22"/>
        </w:rPr>
        <w:t xml:space="preserve"> and inspectors</w:t>
      </w:r>
      <w:r w:rsidR="00B637D6" w:rsidRPr="007A7444">
        <w:rPr>
          <w:rFonts w:ascii="Arial" w:hAnsi="Arial" w:cs="Arial"/>
          <w:color w:val="000000" w:themeColor="text1"/>
          <w:sz w:val="22"/>
          <w:szCs w:val="22"/>
        </w:rPr>
        <w:t xml:space="preserve"> and among building department </w:t>
      </w:r>
      <w:r w:rsidR="004E5DC5" w:rsidRPr="007A7444">
        <w:rPr>
          <w:rFonts w:ascii="Arial" w:hAnsi="Arial" w:cs="Arial"/>
          <w:color w:val="000000" w:themeColor="text1"/>
          <w:sz w:val="22"/>
          <w:szCs w:val="22"/>
        </w:rPr>
        <w:t>personnel</w:t>
      </w:r>
      <w:r w:rsidR="00B637D6" w:rsidRPr="007A7444">
        <w:rPr>
          <w:rFonts w:ascii="Arial" w:hAnsi="Arial" w:cs="Arial"/>
          <w:color w:val="000000" w:themeColor="text1"/>
          <w:sz w:val="22"/>
          <w:szCs w:val="22"/>
        </w:rPr>
        <w:t>.</w:t>
      </w:r>
    </w:p>
    <w:p w14:paraId="6BB7B803" w14:textId="77777777" w:rsidR="00E5704E" w:rsidRPr="007A7444" w:rsidRDefault="00E5704E" w:rsidP="00375A1F">
      <w:pPr>
        <w:tabs>
          <w:tab w:val="left" w:pos="1980"/>
          <w:tab w:val="left" w:pos="2340"/>
          <w:tab w:val="left" w:pos="2610"/>
        </w:tabs>
        <w:ind w:left="-360"/>
        <w:rPr>
          <w:rFonts w:ascii="Arial" w:hAnsi="Arial" w:cs="Arial"/>
          <w:color w:val="000000" w:themeColor="text1"/>
          <w:sz w:val="22"/>
          <w:szCs w:val="22"/>
        </w:rPr>
      </w:pPr>
    </w:p>
    <w:p w14:paraId="31058F28" w14:textId="61B5B3D1" w:rsidR="004E5DC5" w:rsidRDefault="00E5704E" w:rsidP="00375A1F">
      <w:pPr>
        <w:tabs>
          <w:tab w:val="left" w:pos="1980"/>
        </w:tabs>
        <w:ind w:left="-360"/>
        <w:rPr>
          <w:rFonts w:ascii="Arial" w:hAnsi="Arial" w:cs="Arial"/>
          <w:sz w:val="22"/>
          <w:szCs w:val="22"/>
        </w:rPr>
      </w:pPr>
      <w:r w:rsidRPr="007A7444">
        <w:rPr>
          <w:rFonts w:ascii="Arial" w:hAnsi="Arial" w:cs="Arial"/>
          <w:sz w:val="22"/>
          <w:szCs w:val="22"/>
        </w:rPr>
        <w:t>I</w:t>
      </w:r>
      <w:r w:rsidR="00B637D6" w:rsidRPr="007A7444">
        <w:rPr>
          <w:rFonts w:ascii="Arial" w:hAnsi="Arial" w:cs="Arial"/>
          <w:sz w:val="22"/>
          <w:szCs w:val="22"/>
        </w:rPr>
        <w:t xml:space="preserve">n </w:t>
      </w:r>
      <w:r w:rsidR="003A02A5" w:rsidRPr="007A7444">
        <w:rPr>
          <w:rFonts w:ascii="Arial" w:hAnsi="Arial" w:cs="Arial"/>
          <w:sz w:val="22"/>
          <w:szCs w:val="22"/>
        </w:rPr>
        <w:t>an effort to determine consistencies and clarifications</w:t>
      </w:r>
      <w:r w:rsidR="00B637D6" w:rsidRPr="007A7444">
        <w:rPr>
          <w:rFonts w:ascii="Arial" w:hAnsi="Arial" w:cs="Arial"/>
          <w:sz w:val="22"/>
          <w:szCs w:val="22"/>
        </w:rPr>
        <w:t>, we have investigated t</w:t>
      </w:r>
      <w:r w:rsidR="004E5DC5" w:rsidRPr="007A7444">
        <w:rPr>
          <w:rFonts w:ascii="Arial" w:hAnsi="Arial" w:cs="Arial"/>
          <w:sz w:val="22"/>
          <w:szCs w:val="22"/>
        </w:rPr>
        <w:t>he three main source documents for</w:t>
      </w:r>
      <w:r w:rsidR="00B637D6" w:rsidRPr="007A7444">
        <w:rPr>
          <w:rFonts w:ascii="Arial" w:hAnsi="Arial" w:cs="Arial"/>
          <w:sz w:val="22"/>
          <w:szCs w:val="22"/>
        </w:rPr>
        <w:t xml:space="preserve"> this ch</w:t>
      </w:r>
      <w:r w:rsidR="004E5DC5" w:rsidRPr="007A7444">
        <w:rPr>
          <w:rFonts w:ascii="Arial" w:hAnsi="Arial" w:cs="Arial"/>
          <w:sz w:val="22"/>
          <w:szCs w:val="22"/>
        </w:rPr>
        <w:t xml:space="preserve">apter; the Fair Housing </w:t>
      </w:r>
      <w:r w:rsidR="00383A9E" w:rsidRPr="007A7444">
        <w:rPr>
          <w:rFonts w:ascii="Arial" w:hAnsi="Arial" w:cs="Arial"/>
          <w:sz w:val="22"/>
          <w:szCs w:val="22"/>
        </w:rPr>
        <w:t xml:space="preserve">Act </w:t>
      </w:r>
      <w:r w:rsidR="004E5DC5" w:rsidRPr="007A7444">
        <w:rPr>
          <w:rFonts w:ascii="Arial" w:hAnsi="Arial" w:cs="Arial"/>
          <w:sz w:val="22"/>
          <w:szCs w:val="22"/>
        </w:rPr>
        <w:t>Design Manual</w:t>
      </w:r>
      <w:r w:rsidR="00DA6235" w:rsidRPr="007A7444">
        <w:rPr>
          <w:rFonts w:ascii="Arial" w:hAnsi="Arial" w:cs="Arial"/>
          <w:sz w:val="22"/>
          <w:szCs w:val="22"/>
        </w:rPr>
        <w:t xml:space="preserve"> (FH</w:t>
      </w:r>
      <w:r w:rsidR="00383A9E" w:rsidRPr="007A7444">
        <w:rPr>
          <w:rFonts w:ascii="Arial" w:hAnsi="Arial" w:cs="Arial"/>
          <w:sz w:val="22"/>
          <w:szCs w:val="22"/>
        </w:rPr>
        <w:t>A</w:t>
      </w:r>
      <w:r w:rsidRPr="007A7444">
        <w:rPr>
          <w:rFonts w:ascii="Arial" w:hAnsi="Arial" w:cs="Arial"/>
          <w:sz w:val="22"/>
          <w:szCs w:val="22"/>
        </w:rPr>
        <w:t xml:space="preserve">DM), the 1986 ANSI A117.1 </w:t>
      </w:r>
      <w:r w:rsidR="004E5DC5" w:rsidRPr="007A7444">
        <w:rPr>
          <w:rFonts w:ascii="Arial" w:hAnsi="Arial" w:cs="Arial"/>
          <w:sz w:val="22"/>
          <w:szCs w:val="22"/>
        </w:rPr>
        <w:t>Standard, and A N</w:t>
      </w:r>
      <w:r w:rsidRPr="007A7444">
        <w:rPr>
          <w:rFonts w:ascii="Arial" w:hAnsi="Arial" w:cs="Arial"/>
          <w:sz w:val="22"/>
          <w:szCs w:val="22"/>
        </w:rPr>
        <w:t>ew Horizon</w:t>
      </w:r>
      <w:r w:rsidR="004E5DC5" w:rsidRPr="007A7444">
        <w:rPr>
          <w:rFonts w:ascii="Arial" w:hAnsi="Arial" w:cs="Arial"/>
          <w:sz w:val="22"/>
          <w:szCs w:val="22"/>
        </w:rPr>
        <w:t>, published by the Department of Hous</w:t>
      </w:r>
      <w:r w:rsidR="007A7444">
        <w:rPr>
          <w:rFonts w:ascii="Arial" w:hAnsi="Arial" w:cs="Arial"/>
          <w:sz w:val="22"/>
          <w:szCs w:val="22"/>
        </w:rPr>
        <w:t>ing and Community Development (</w:t>
      </w:r>
      <w:r w:rsidR="004E5DC5" w:rsidRPr="007A7444">
        <w:rPr>
          <w:rFonts w:ascii="Arial" w:hAnsi="Arial" w:cs="Arial"/>
          <w:sz w:val="22"/>
          <w:szCs w:val="22"/>
        </w:rPr>
        <w:t>HC</w:t>
      </w:r>
      <w:r w:rsidRPr="007A7444">
        <w:rPr>
          <w:rFonts w:ascii="Arial" w:hAnsi="Arial" w:cs="Arial"/>
          <w:sz w:val="22"/>
          <w:szCs w:val="22"/>
        </w:rPr>
        <w:t xml:space="preserve">D) </w:t>
      </w:r>
      <w:r w:rsidR="003A02A5">
        <w:rPr>
          <w:rFonts w:ascii="Arial" w:hAnsi="Arial" w:cs="Arial"/>
          <w:sz w:val="22"/>
          <w:szCs w:val="22"/>
        </w:rPr>
        <w:t>effective September 15, 1984</w:t>
      </w:r>
      <w:r w:rsidR="00B637D6" w:rsidRPr="007A7444">
        <w:rPr>
          <w:rFonts w:ascii="Arial" w:hAnsi="Arial" w:cs="Arial"/>
          <w:sz w:val="22"/>
          <w:szCs w:val="22"/>
        </w:rPr>
        <w:t xml:space="preserve">. </w:t>
      </w:r>
      <w:r w:rsidRPr="007A7444">
        <w:rPr>
          <w:rFonts w:ascii="Arial" w:hAnsi="Arial" w:cs="Arial"/>
          <w:sz w:val="22"/>
          <w:szCs w:val="22"/>
        </w:rPr>
        <w:t>We have also spent</w:t>
      </w:r>
      <w:r w:rsidR="004E5DC5" w:rsidRPr="007A7444">
        <w:rPr>
          <w:rFonts w:ascii="Arial" w:hAnsi="Arial" w:cs="Arial"/>
          <w:sz w:val="22"/>
          <w:szCs w:val="22"/>
        </w:rPr>
        <w:t xml:space="preserve"> considerable time with </w:t>
      </w:r>
      <w:r w:rsidRPr="007A7444">
        <w:rPr>
          <w:rFonts w:ascii="Arial" w:hAnsi="Arial" w:cs="Arial"/>
          <w:sz w:val="22"/>
          <w:szCs w:val="22"/>
        </w:rPr>
        <w:t>the staff of HCD reviewing that the department’s</w:t>
      </w:r>
      <w:r w:rsidR="004E5DC5" w:rsidRPr="007A7444">
        <w:rPr>
          <w:rFonts w:ascii="Arial" w:hAnsi="Arial" w:cs="Arial"/>
          <w:sz w:val="22"/>
          <w:szCs w:val="22"/>
        </w:rPr>
        <w:t xml:space="preserve"> files for the history and intent of the code language. </w:t>
      </w:r>
    </w:p>
    <w:p w14:paraId="5B4B56BA" w14:textId="77777777" w:rsidR="009565EB" w:rsidRPr="007A7444" w:rsidRDefault="009565EB" w:rsidP="00375A1F">
      <w:pPr>
        <w:tabs>
          <w:tab w:val="left" w:pos="1980"/>
        </w:tabs>
        <w:ind w:left="-360"/>
        <w:rPr>
          <w:rFonts w:ascii="Arial" w:hAnsi="Arial" w:cs="Arial"/>
          <w:sz w:val="22"/>
          <w:szCs w:val="22"/>
        </w:rPr>
      </w:pPr>
    </w:p>
    <w:p w14:paraId="7258D66B" w14:textId="77777777" w:rsidR="00C30D4D" w:rsidRPr="007A7444" w:rsidRDefault="004E5DC5" w:rsidP="00375A1F">
      <w:pPr>
        <w:tabs>
          <w:tab w:val="left" w:pos="1980"/>
        </w:tabs>
        <w:ind w:left="-360"/>
        <w:rPr>
          <w:rFonts w:ascii="Arial" w:hAnsi="Arial" w:cs="Arial"/>
          <w:sz w:val="22"/>
          <w:szCs w:val="22"/>
        </w:rPr>
      </w:pPr>
      <w:r w:rsidRPr="007A7444">
        <w:rPr>
          <w:rFonts w:ascii="Arial" w:hAnsi="Arial" w:cs="Arial"/>
          <w:sz w:val="22"/>
          <w:szCs w:val="22"/>
        </w:rPr>
        <w:t>In an effort to clarify some of these issues</w:t>
      </w:r>
      <w:r w:rsidR="00E5704E" w:rsidRPr="007A7444">
        <w:rPr>
          <w:rFonts w:ascii="Arial" w:hAnsi="Arial" w:cs="Arial"/>
          <w:sz w:val="22"/>
          <w:szCs w:val="22"/>
        </w:rPr>
        <w:t>,</w:t>
      </w:r>
      <w:r w:rsidRPr="007A7444">
        <w:rPr>
          <w:rFonts w:ascii="Arial" w:hAnsi="Arial" w:cs="Arial"/>
          <w:sz w:val="22"/>
          <w:szCs w:val="22"/>
        </w:rPr>
        <w:t xml:space="preserve"> HCD has revised much of the language in Chapter 11A in sizable rewording of</w:t>
      </w:r>
      <w:r w:rsidR="00E5704E" w:rsidRPr="007A7444">
        <w:rPr>
          <w:rFonts w:ascii="Arial" w:hAnsi="Arial" w:cs="Arial"/>
          <w:sz w:val="22"/>
          <w:szCs w:val="22"/>
        </w:rPr>
        <w:t xml:space="preserve"> the code sections in the 2010 E</w:t>
      </w:r>
      <w:r w:rsidRPr="007A7444">
        <w:rPr>
          <w:rFonts w:ascii="Arial" w:hAnsi="Arial" w:cs="Arial"/>
          <w:sz w:val="22"/>
          <w:szCs w:val="22"/>
        </w:rPr>
        <w:t xml:space="preserve">dition of the CBC and again in the 2013 Intervening Code Cycle Supplement effective July 1, 2015. </w:t>
      </w:r>
    </w:p>
    <w:p w14:paraId="4C25D045" w14:textId="77777777" w:rsidR="00C30D4D" w:rsidRPr="007A7444" w:rsidRDefault="00C30D4D" w:rsidP="00375A1F">
      <w:pPr>
        <w:tabs>
          <w:tab w:val="left" w:pos="1980"/>
        </w:tabs>
        <w:ind w:left="-360"/>
        <w:rPr>
          <w:rFonts w:ascii="Arial" w:hAnsi="Arial" w:cs="Arial"/>
          <w:sz w:val="22"/>
          <w:szCs w:val="22"/>
        </w:rPr>
      </w:pPr>
    </w:p>
    <w:p w14:paraId="0E49E1C9" w14:textId="77777777" w:rsidR="00375A1F" w:rsidRDefault="004E5DC5" w:rsidP="00375A1F">
      <w:pPr>
        <w:tabs>
          <w:tab w:val="left" w:pos="1980"/>
        </w:tabs>
        <w:ind w:left="-360"/>
        <w:rPr>
          <w:rFonts w:ascii="Arial" w:hAnsi="Arial" w:cs="Arial"/>
          <w:sz w:val="22"/>
          <w:szCs w:val="22"/>
        </w:rPr>
      </w:pPr>
      <w:r w:rsidRPr="007A7444">
        <w:rPr>
          <w:rFonts w:ascii="Arial" w:hAnsi="Arial" w:cs="Arial"/>
          <w:sz w:val="22"/>
          <w:szCs w:val="22"/>
        </w:rPr>
        <w:t>Based upon these sources</w:t>
      </w:r>
      <w:r w:rsidR="00E5704E" w:rsidRPr="007A7444">
        <w:rPr>
          <w:rFonts w:ascii="Arial" w:hAnsi="Arial" w:cs="Arial"/>
          <w:sz w:val="22"/>
          <w:szCs w:val="22"/>
        </w:rPr>
        <w:t>,</w:t>
      </w:r>
      <w:r w:rsidRPr="007A7444">
        <w:rPr>
          <w:rFonts w:ascii="Arial" w:hAnsi="Arial" w:cs="Arial"/>
          <w:sz w:val="22"/>
          <w:szCs w:val="22"/>
        </w:rPr>
        <w:t xml:space="preserve"> the Department offers the following interpretations </w:t>
      </w:r>
      <w:r w:rsidR="00E5704E" w:rsidRPr="007A7444">
        <w:rPr>
          <w:rFonts w:ascii="Arial" w:hAnsi="Arial" w:cs="Arial"/>
          <w:sz w:val="22"/>
          <w:szCs w:val="22"/>
        </w:rPr>
        <w:t>that will be considered consiste</w:t>
      </w:r>
      <w:r w:rsidRPr="007A7444">
        <w:rPr>
          <w:rFonts w:ascii="Arial" w:hAnsi="Arial" w:cs="Arial"/>
          <w:sz w:val="22"/>
          <w:szCs w:val="22"/>
        </w:rPr>
        <w:t>nt with the intent of the code and will be ef</w:t>
      </w:r>
      <w:r w:rsidR="00E5704E" w:rsidRPr="007A7444">
        <w:rPr>
          <w:rFonts w:ascii="Arial" w:hAnsi="Arial" w:cs="Arial"/>
          <w:sz w:val="22"/>
          <w:szCs w:val="22"/>
        </w:rPr>
        <w:t>fective as of the date of this Information S</w:t>
      </w:r>
      <w:r w:rsidR="00C30D4D" w:rsidRPr="007A7444">
        <w:rPr>
          <w:rFonts w:ascii="Arial" w:hAnsi="Arial" w:cs="Arial"/>
          <w:sz w:val="22"/>
          <w:szCs w:val="22"/>
        </w:rPr>
        <w:t>heet:</w:t>
      </w:r>
    </w:p>
    <w:p w14:paraId="78D03799" w14:textId="77777777" w:rsidR="00375A1F" w:rsidRDefault="00375A1F" w:rsidP="00375A1F">
      <w:pPr>
        <w:tabs>
          <w:tab w:val="left" w:pos="1980"/>
        </w:tabs>
        <w:ind w:left="-360"/>
        <w:rPr>
          <w:rFonts w:ascii="Arial" w:hAnsi="Arial" w:cs="Arial"/>
          <w:sz w:val="22"/>
          <w:szCs w:val="22"/>
        </w:rPr>
      </w:pPr>
    </w:p>
    <w:p w14:paraId="5D4F05CD" w14:textId="43679BC9" w:rsidR="005C0532" w:rsidRPr="00375A1F" w:rsidRDefault="0041764B" w:rsidP="00375A1F">
      <w:pPr>
        <w:pStyle w:val="ListParagraph"/>
        <w:numPr>
          <w:ilvl w:val="0"/>
          <w:numId w:val="24"/>
        </w:numPr>
        <w:tabs>
          <w:tab w:val="left" w:pos="1980"/>
        </w:tabs>
        <w:rPr>
          <w:rFonts w:ascii="Arial" w:hAnsi="Arial" w:cs="Arial"/>
          <w:sz w:val="22"/>
          <w:szCs w:val="22"/>
        </w:rPr>
      </w:pPr>
      <w:r w:rsidRPr="00375A1F">
        <w:rPr>
          <w:rFonts w:ascii="Arial" w:hAnsi="Arial" w:cs="Arial"/>
          <w:b/>
          <w:sz w:val="22"/>
          <w:szCs w:val="22"/>
          <w:u w:val="single"/>
        </w:rPr>
        <w:t>Common Use Kitchens:</w:t>
      </w:r>
      <w:r w:rsidRPr="00375A1F">
        <w:rPr>
          <w:rFonts w:ascii="Arial" w:hAnsi="Arial" w:cs="Arial"/>
          <w:sz w:val="22"/>
          <w:szCs w:val="22"/>
        </w:rPr>
        <w:t xml:space="preserve"> It is important to clarify that by </w:t>
      </w:r>
      <w:r w:rsidR="005C0532" w:rsidRPr="00375A1F">
        <w:rPr>
          <w:rFonts w:ascii="Arial" w:hAnsi="Arial" w:cs="Arial"/>
          <w:sz w:val="22"/>
          <w:szCs w:val="22"/>
        </w:rPr>
        <w:t>definition,</w:t>
      </w:r>
      <w:r w:rsidRPr="00375A1F">
        <w:rPr>
          <w:rFonts w:ascii="Arial" w:hAnsi="Arial" w:cs="Arial"/>
          <w:sz w:val="22"/>
          <w:szCs w:val="22"/>
        </w:rPr>
        <w:t xml:space="preserve"> common use areas and kitchens are facilities whose use is limited to the owners, residence and their guests. If t</w:t>
      </w:r>
      <w:r w:rsidR="00B778F1" w:rsidRPr="00375A1F">
        <w:rPr>
          <w:rFonts w:ascii="Arial" w:hAnsi="Arial" w:cs="Arial"/>
          <w:sz w:val="22"/>
          <w:szCs w:val="22"/>
        </w:rPr>
        <w:t>he areas are available for rent</w:t>
      </w:r>
      <w:r w:rsidRPr="00375A1F">
        <w:rPr>
          <w:rFonts w:ascii="Arial" w:hAnsi="Arial" w:cs="Arial"/>
          <w:sz w:val="22"/>
          <w:szCs w:val="22"/>
        </w:rPr>
        <w:t xml:space="preserve">, use or lease by the general public at any time, it then becomes a public use facility and would be governed by Chapter 11B Sections 11B-212 and 11B-804. </w:t>
      </w:r>
    </w:p>
    <w:p w14:paraId="49CA1DE7" w14:textId="77777777" w:rsidR="005C0532" w:rsidRPr="007A7444" w:rsidRDefault="005C0532" w:rsidP="00375A1F">
      <w:pPr>
        <w:pStyle w:val="ListParagraph"/>
        <w:tabs>
          <w:tab w:val="left" w:pos="1980"/>
        </w:tabs>
        <w:ind w:left="1620" w:hanging="360"/>
        <w:rPr>
          <w:rFonts w:ascii="Arial" w:hAnsi="Arial" w:cs="Arial"/>
          <w:b/>
          <w:sz w:val="22"/>
          <w:szCs w:val="22"/>
          <w:u w:val="single"/>
        </w:rPr>
      </w:pPr>
    </w:p>
    <w:p w14:paraId="121BB0AA" w14:textId="5AAEDF77" w:rsidR="005C0532" w:rsidRPr="007A7444" w:rsidRDefault="0016223D" w:rsidP="00375A1F">
      <w:pPr>
        <w:pStyle w:val="ListParagraph"/>
        <w:tabs>
          <w:tab w:val="left" w:pos="1980"/>
        </w:tabs>
        <w:ind w:left="360"/>
        <w:rPr>
          <w:rFonts w:ascii="Arial" w:hAnsi="Arial" w:cs="Arial"/>
          <w:sz w:val="22"/>
          <w:szCs w:val="22"/>
        </w:rPr>
      </w:pPr>
      <w:r w:rsidRPr="007A7444">
        <w:rPr>
          <w:rFonts w:ascii="Arial" w:hAnsi="Arial" w:cs="Arial"/>
          <w:sz w:val="22"/>
          <w:szCs w:val="22"/>
        </w:rPr>
        <w:t xml:space="preserve">It is also important to note that the </w:t>
      </w:r>
      <w:r w:rsidR="00DA6235" w:rsidRPr="007A7444">
        <w:rPr>
          <w:rFonts w:ascii="Arial" w:hAnsi="Arial" w:cs="Arial"/>
          <w:sz w:val="22"/>
          <w:szCs w:val="22"/>
        </w:rPr>
        <w:t>FH</w:t>
      </w:r>
      <w:r w:rsidR="00383A9E" w:rsidRPr="007A7444">
        <w:rPr>
          <w:rFonts w:ascii="Arial" w:hAnsi="Arial" w:cs="Arial"/>
          <w:sz w:val="22"/>
          <w:szCs w:val="22"/>
        </w:rPr>
        <w:t>A</w:t>
      </w:r>
      <w:r w:rsidR="00DA6235" w:rsidRPr="007A7444">
        <w:rPr>
          <w:rFonts w:ascii="Arial" w:hAnsi="Arial" w:cs="Arial"/>
          <w:sz w:val="22"/>
          <w:szCs w:val="22"/>
        </w:rPr>
        <w:t xml:space="preserve">DM, Chapter 11A and the HCD webpage state that compliance with both </w:t>
      </w:r>
      <w:r w:rsidR="00B778F1" w:rsidRPr="007A7444">
        <w:rPr>
          <w:rFonts w:ascii="Arial" w:hAnsi="Arial" w:cs="Arial"/>
          <w:sz w:val="22"/>
          <w:szCs w:val="22"/>
        </w:rPr>
        <w:t>the Fair Housing Act and California State re</w:t>
      </w:r>
      <w:r w:rsidR="005C0532" w:rsidRPr="007A7444">
        <w:rPr>
          <w:rFonts w:ascii="Arial" w:hAnsi="Arial" w:cs="Arial"/>
          <w:sz w:val="22"/>
          <w:szCs w:val="22"/>
        </w:rPr>
        <w:t>gulations (C</w:t>
      </w:r>
      <w:r w:rsidR="00B778F1" w:rsidRPr="007A7444">
        <w:rPr>
          <w:rFonts w:ascii="Arial" w:hAnsi="Arial" w:cs="Arial"/>
          <w:sz w:val="22"/>
          <w:szCs w:val="22"/>
        </w:rPr>
        <w:t>hapter 11A</w:t>
      </w:r>
      <w:r w:rsidR="00074227" w:rsidRPr="007A7444">
        <w:rPr>
          <w:rFonts w:ascii="Arial" w:hAnsi="Arial" w:cs="Arial"/>
          <w:sz w:val="22"/>
          <w:szCs w:val="22"/>
        </w:rPr>
        <w:t>) is</w:t>
      </w:r>
      <w:r w:rsidR="00DA6235" w:rsidRPr="007A7444">
        <w:rPr>
          <w:rFonts w:ascii="Arial" w:hAnsi="Arial" w:cs="Arial"/>
          <w:sz w:val="22"/>
          <w:szCs w:val="22"/>
        </w:rPr>
        <w:t xml:space="preserve"> required and that when there is a conflict, the more stringent requirements must be followed. </w:t>
      </w:r>
    </w:p>
    <w:p w14:paraId="1C82EAA2" w14:textId="77777777" w:rsidR="005C0532" w:rsidRPr="007A7444" w:rsidRDefault="005C0532" w:rsidP="00375A1F">
      <w:pPr>
        <w:pStyle w:val="ListParagraph"/>
        <w:tabs>
          <w:tab w:val="left" w:pos="1980"/>
        </w:tabs>
        <w:ind w:left="360"/>
        <w:rPr>
          <w:rFonts w:ascii="Arial" w:hAnsi="Arial" w:cs="Arial"/>
          <w:sz w:val="22"/>
          <w:szCs w:val="22"/>
        </w:rPr>
      </w:pPr>
    </w:p>
    <w:p w14:paraId="4469049E" w14:textId="018644DA" w:rsidR="005C0532" w:rsidRPr="007A7444" w:rsidRDefault="00DA6235" w:rsidP="00375A1F">
      <w:pPr>
        <w:pStyle w:val="ListParagraph"/>
        <w:tabs>
          <w:tab w:val="left" w:pos="1980"/>
        </w:tabs>
        <w:ind w:left="360"/>
        <w:rPr>
          <w:rFonts w:ascii="Arial" w:hAnsi="Arial" w:cs="Arial"/>
          <w:sz w:val="22"/>
          <w:szCs w:val="22"/>
        </w:rPr>
      </w:pPr>
      <w:r w:rsidRPr="007A7444">
        <w:rPr>
          <w:rFonts w:ascii="Arial" w:hAnsi="Arial" w:cs="Arial"/>
          <w:sz w:val="22"/>
          <w:szCs w:val="22"/>
        </w:rPr>
        <w:t xml:space="preserve">If the kitchen </w:t>
      </w:r>
      <w:r w:rsidR="0041764B" w:rsidRPr="007A7444">
        <w:rPr>
          <w:rFonts w:ascii="Arial" w:hAnsi="Arial" w:cs="Arial"/>
          <w:sz w:val="22"/>
          <w:szCs w:val="22"/>
        </w:rPr>
        <w:t>is truly a common use</w:t>
      </w:r>
      <w:r w:rsidR="005C0532" w:rsidRPr="007A7444">
        <w:rPr>
          <w:rFonts w:ascii="Arial" w:hAnsi="Arial" w:cs="Arial"/>
          <w:sz w:val="22"/>
          <w:szCs w:val="22"/>
        </w:rPr>
        <w:t>, then it is governed by S</w:t>
      </w:r>
      <w:r w:rsidR="0041764B" w:rsidRPr="007A7444">
        <w:rPr>
          <w:rFonts w:ascii="Arial" w:hAnsi="Arial" w:cs="Arial"/>
          <w:sz w:val="22"/>
          <w:szCs w:val="22"/>
        </w:rPr>
        <w:t>ection 1127A of Chapter 1</w:t>
      </w:r>
      <w:r w:rsidR="005C0532" w:rsidRPr="007A7444">
        <w:rPr>
          <w:rFonts w:ascii="Arial" w:hAnsi="Arial" w:cs="Arial"/>
          <w:sz w:val="22"/>
          <w:szCs w:val="22"/>
        </w:rPr>
        <w:t>1A and the Fair Housing Design M</w:t>
      </w:r>
      <w:r w:rsidR="0041764B" w:rsidRPr="007A7444">
        <w:rPr>
          <w:rFonts w:ascii="Arial" w:hAnsi="Arial" w:cs="Arial"/>
          <w:sz w:val="22"/>
          <w:szCs w:val="22"/>
        </w:rPr>
        <w:t>anual.</w:t>
      </w:r>
      <w:r w:rsidR="0016223D" w:rsidRPr="007A7444">
        <w:rPr>
          <w:rFonts w:ascii="Arial" w:hAnsi="Arial" w:cs="Arial"/>
          <w:sz w:val="22"/>
          <w:szCs w:val="22"/>
        </w:rPr>
        <w:t xml:space="preserve"> Both of these document are silent on “kitchens” but both offer some guidance on design. The Fair Housing Act Design Manual diagram on </w:t>
      </w:r>
      <w:r w:rsidR="009565EB">
        <w:rPr>
          <w:rFonts w:ascii="Arial" w:hAnsi="Arial" w:cs="Arial"/>
          <w:sz w:val="22"/>
          <w:szCs w:val="22"/>
        </w:rPr>
        <w:t xml:space="preserve">   </w:t>
      </w:r>
      <w:r w:rsidR="0016223D" w:rsidRPr="007A7444">
        <w:rPr>
          <w:rFonts w:ascii="Arial" w:hAnsi="Arial" w:cs="Arial"/>
          <w:sz w:val="22"/>
          <w:szCs w:val="22"/>
        </w:rPr>
        <w:t>page 2.14 sh</w:t>
      </w:r>
      <w:r w:rsidRPr="007A7444">
        <w:rPr>
          <w:rFonts w:ascii="Arial" w:hAnsi="Arial" w:cs="Arial"/>
          <w:sz w:val="22"/>
          <w:szCs w:val="22"/>
        </w:rPr>
        <w:t xml:space="preserve">ows a common area kitchen with two notes. The first note states that sinks in common use spaces must comply with ANSI A117.1 </w:t>
      </w:r>
      <w:r w:rsidR="005C0532" w:rsidRPr="007A7444">
        <w:rPr>
          <w:rFonts w:ascii="Arial" w:hAnsi="Arial" w:cs="Arial"/>
          <w:sz w:val="22"/>
          <w:szCs w:val="22"/>
        </w:rPr>
        <w:t>S</w:t>
      </w:r>
      <w:r w:rsidRPr="007A7444">
        <w:rPr>
          <w:rFonts w:ascii="Arial" w:hAnsi="Arial" w:cs="Arial"/>
          <w:sz w:val="22"/>
          <w:szCs w:val="22"/>
        </w:rPr>
        <w:t xml:space="preserve">ection 4.19 (attached). The second note stipulates that the knee space below the sink must be </w:t>
      </w:r>
      <w:r w:rsidR="005C0532" w:rsidRPr="007A7444">
        <w:rPr>
          <w:rFonts w:ascii="Arial" w:hAnsi="Arial" w:cs="Arial"/>
          <w:sz w:val="22"/>
          <w:szCs w:val="22"/>
        </w:rPr>
        <w:t>enlarged to 36” to provide a toe</w:t>
      </w:r>
      <w:r w:rsidRPr="007A7444">
        <w:rPr>
          <w:rFonts w:ascii="Arial" w:hAnsi="Arial" w:cs="Arial"/>
          <w:sz w:val="22"/>
          <w:szCs w:val="22"/>
        </w:rPr>
        <w:t xml:space="preserve"> turning space if the kitchen is</w:t>
      </w:r>
      <w:r w:rsidR="00854F0C">
        <w:rPr>
          <w:rFonts w:ascii="Arial" w:hAnsi="Arial" w:cs="Arial"/>
          <w:sz w:val="22"/>
          <w:szCs w:val="22"/>
        </w:rPr>
        <w:t xml:space="preserve"> U</w:t>
      </w:r>
      <w:r w:rsidR="005C0532" w:rsidRPr="007A7444">
        <w:rPr>
          <w:rFonts w:ascii="Arial" w:hAnsi="Arial" w:cs="Arial"/>
          <w:sz w:val="22"/>
          <w:szCs w:val="22"/>
        </w:rPr>
        <w:t>-</w:t>
      </w:r>
      <w:r w:rsidR="00383A9E" w:rsidRPr="007A7444">
        <w:rPr>
          <w:rFonts w:ascii="Arial" w:hAnsi="Arial" w:cs="Arial"/>
          <w:sz w:val="22"/>
          <w:szCs w:val="22"/>
        </w:rPr>
        <w:t xml:space="preserve">shaped and </w:t>
      </w:r>
      <w:r w:rsidRPr="007A7444">
        <w:rPr>
          <w:rFonts w:ascii="Arial" w:hAnsi="Arial" w:cs="Arial"/>
          <w:sz w:val="22"/>
          <w:szCs w:val="22"/>
        </w:rPr>
        <w:t xml:space="preserve">less than 60” wide. </w:t>
      </w:r>
    </w:p>
    <w:p w14:paraId="1C23B7FA" w14:textId="77777777" w:rsidR="005C0532" w:rsidRPr="007A7444" w:rsidRDefault="005C0532" w:rsidP="00375A1F">
      <w:pPr>
        <w:pStyle w:val="ListParagraph"/>
        <w:tabs>
          <w:tab w:val="left" w:pos="1980"/>
        </w:tabs>
        <w:ind w:left="360"/>
        <w:rPr>
          <w:rFonts w:ascii="Arial" w:hAnsi="Arial" w:cs="Arial"/>
          <w:sz w:val="22"/>
          <w:szCs w:val="22"/>
        </w:rPr>
      </w:pPr>
    </w:p>
    <w:p w14:paraId="1DBEAC43" w14:textId="7F2F7698" w:rsidR="005C0532" w:rsidRDefault="00DA6235" w:rsidP="00375A1F">
      <w:pPr>
        <w:pStyle w:val="ListParagraph"/>
        <w:tabs>
          <w:tab w:val="left" w:pos="1980"/>
        </w:tabs>
        <w:ind w:left="360"/>
        <w:rPr>
          <w:rFonts w:ascii="Arial" w:hAnsi="Arial" w:cs="Arial"/>
          <w:sz w:val="22"/>
          <w:szCs w:val="22"/>
        </w:rPr>
      </w:pPr>
      <w:r w:rsidRPr="007A7444">
        <w:rPr>
          <w:rFonts w:ascii="Arial" w:hAnsi="Arial" w:cs="Arial"/>
          <w:sz w:val="22"/>
          <w:szCs w:val="22"/>
        </w:rPr>
        <w:t xml:space="preserve">It should </w:t>
      </w:r>
      <w:r w:rsidR="00F66A7A" w:rsidRPr="007A7444">
        <w:rPr>
          <w:rFonts w:ascii="Arial" w:hAnsi="Arial" w:cs="Arial"/>
          <w:sz w:val="22"/>
          <w:szCs w:val="22"/>
        </w:rPr>
        <w:t xml:space="preserve">also </w:t>
      </w:r>
      <w:r w:rsidRPr="007A7444">
        <w:rPr>
          <w:rFonts w:ascii="Arial" w:hAnsi="Arial" w:cs="Arial"/>
          <w:sz w:val="22"/>
          <w:szCs w:val="22"/>
        </w:rPr>
        <w:t>be noted that the diagram shows full height (36”) cabinets where the dishwasher and stove are placed, but has a lowered (34”) height sink and 30” work space. It also shows a lowered food serving / dining area with knee space that appears to be about 60” in le</w:t>
      </w:r>
      <w:r w:rsidR="005C0532" w:rsidRPr="007A7444">
        <w:rPr>
          <w:rFonts w:ascii="Arial" w:hAnsi="Arial" w:cs="Arial"/>
          <w:sz w:val="22"/>
          <w:szCs w:val="22"/>
        </w:rPr>
        <w:t>ngth.  This is consistent with S</w:t>
      </w:r>
      <w:r w:rsidRPr="007A7444">
        <w:rPr>
          <w:rFonts w:ascii="Arial" w:hAnsi="Arial" w:cs="Arial"/>
          <w:sz w:val="22"/>
          <w:szCs w:val="22"/>
        </w:rPr>
        <w:t xml:space="preserve">ection </w:t>
      </w:r>
      <w:r w:rsidR="00EE28D8" w:rsidRPr="007A7444">
        <w:rPr>
          <w:rFonts w:ascii="Arial" w:hAnsi="Arial" w:cs="Arial"/>
          <w:sz w:val="22"/>
          <w:szCs w:val="22"/>
        </w:rPr>
        <w:t>1127A.12.4 exception that states that wher</w:t>
      </w:r>
      <w:r w:rsidR="00B778F1" w:rsidRPr="007A7444">
        <w:rPr>
          <w:rFonts w:ascii="Arial" w:hAnsi="Arial" w:cs="Arial"/>
          <w:sz w:val="22"/>
          <w:szCs w:val="22"/>
        </w:rPr>
        <w:t>e food</w:t>
      </w:r>
      <w:r w:rsidR="00854F0C">
        <w:rPr>
          <w:rFonts w:ascii="Arial" w:hAnsi="Arial" w:cs="Arial"/>
          <w:sz w:val="22"/>
          <w:szCs w:val="22"/>
        </w:rPr>
        <w:t xml:space="preserve"> or drink is</w:t>
      </w:r>
      <w:r w:rsidR="00B778F1" w:rsidRPr="007A7444">
        <w:rPr>
          <w:rFonts w:ascii="Arial" w:hAnsi="Arial" w:cs="Arial"/>
          <w:sz w:val="22"/>
          <w:szCs w:val="22"/>
        </w:rPr>
        <w:t xml:space="preserve"> served, </w:t>
      </w:r>
      <w:r w:rsidR="00EE28D8" w:rsidRPr="007A7444">
        <w:rPr>
          <w:rFonts w:ascii="Arial" w:hAnsi="Arial" w:cs="Arial"/>
          <w:sz w:val="22"/>
          <w:szCs w:val="22"/>
        </w:rPr>
        <w:t xml:space="preserve">a portion of the main counter 60” in length shall be provided at 34” in height. Section 1127A.12.3 would require knee and toe space be provided for this </w:t>
      </w:r>
      <w:r w:rsidR="009565EB" w:rsidRPr="00C03318">
        <w:rPr>
          <w:rFonts w:ascii="Arial" w:hAnsi="Arial" w:cs="Arial"/>
          <w:sz w:val="22"/>
          <w:szCs w:val="22"/>
        </w:rPr>
        <w:t xml:space="preserve">60” </w:t>
      </w:r>
      <w:r w:rsidR="00EE28D8" w:rsidRPr="00C03318">
        <w:rPr>
          <w:rFonts w:ascii="Arial" w:hAnsi="Arial" w:cs="Arial"/>
          <w:sz w:val="22"/>
          <w:szCs w:val="22"/>
        </w:rPr>
        <w:t xml:space="preserve">section. The requirements for kitchens contained in A New Horizons stipulated that the </w:t>
      </w:r>
      <w:r w:rsidR="00EE28D8" w:rsidRPr="00375A1F">
        <w:rPr>
          <w:rFonts w:ascii="Arial" w:hAnsi="Arial" w:cs="Arial"/>
          <w:sz w:val="22"/>
          <w:szCs w:val="22"/>
        </w:rPr>
        <w:t>minimum width of a kitchen in a covered dwel</w:t>
      </w:r>
      <w:r w:rsidR="00375A1F">
        <w:rPr>
          <w:rFonts w:ascii="Arial" w:hAnsi="Arial" w:cs="Arial"/>
          <w:sz w:val="22"/>
          <w:szCs w:val="22"/>
        </w:rPr>
        <w:t xml:space="preserve">ling must be a minimum of 48”. </w:t>
      </w:r>
      <w:r w:rsidR="00EE28D8" w:rsidRPr="00375A1F">
        <w:rPr>
          <w:rFonts w:ascii="Arial" w:hAnsi="Arial" w:cs="Arial"/>
          <w:sz w:val="22"/>
          <w:szCs w:val="22"/>
        </w:rPr>
        <w:t>This was carried forward into 11A and must be followed.</w:t>
      </w:r>
    </w:p>
    <w:p w14:paraId="5AE595D6" w14:textId="77777777" w:rsidR="00375A1F" w:rsidRPr="00375A1F" w:rsidRDefault="00375A1F" w:rsidP="00375A1F">
      <w:pPr>
        <w:pStyle w:val="ListParagraph"/>
        <w:tabs>
          <w:tab w:val="left" w:pos="1980"/>
        </w:tabs>
        <w:ind w:left="360"/>
        <w:rPr>
          <w:rFonts w:ascii="Arial" w:hAnsi="Arial" w:cs="Arial"/>
          <w:sz w:val="22"/>
          <w:szCs w:val="22"/>
        </w:rPr>
      </w:pPr>
    </w:p>
    <w:p w14:paraId="3360F73F" w14:textId="77777777" w:rsidR="00375A1F" w:rsidRDefault="00EE28D8" w:rsidP="00375A1F">
      <w:pPr>
        <w:pStyle w:val="ListParagraph"/>
        <w:tabs>
          <w:tab w:val="left" w:pos="1980"/>
        </w:tabs>
        <w:ind w:left="360"/>
        <w:rPr>
          <w:rFonts w:ascii="Arial" w:hAnsi="Arial" w:cs="Arial"/>
          <w:sz w:val="22"/>
          <w:szCs w:val="22"/>
        </w:rPr>
      </w:pPr>
      <w:r w:rsidRPr="007A7444">
        <w:rPr>
          <w:rFonts w:ascii="Arial" w:hAnsi="Arial" w:cs="Arial"/>
          <w:sz w:val="22"/>
          <w:szCs w:val="22"/>
        </w:rPr>
        <w:t>To summarize, a common use area kitchen must contain the following elements</w:t>
      </w:r>
      <w:r w:rsidR="00047445" w:rsidRPr="007A7444">
        <w:rPr>
          <w:rFonts w:ascii="Arial" w:hAnsi="Arial" w:cs="Arial"/>
          <w:sz w:val="22"/>
          <w:szCs w:val="22"/>
        </w:rPr>
        <w:t xml:space="preserve"> to be considered compliant with California Chapter 11A</w:t>
      </w:r>
      <w:r w:rsidR="009565EB">
        <w:rPr>
          <w:rFonts w:ascii="Arial" w:hAnsi="Arial" w:cs="Arial"/>
          <w:sz w:val="22"/>
          <w:szCs w:val="22"/>
        </w:rPr>
        <w:t>:</w:t>
      </w:r>
    </w:p>
    <w:p w14:paraId="74EEC271" w14:textId="77777777" w:rsidR="00375A1F" w:rsidRDefault="00375A1F" w:rsidP="00375A1F">
      <w:pPr>
        <w:pStyle w:val="ListParagraph"/>
        <w:tabs>
          <w:tab w:val="left" w:pos="1980"/>
        </w:tabs>
        <w:ind w:left="360"/>
        <w:rPr>
          <w:rFonts w:ascii="Arial" w:hAnsi="Arial" w:cs="Arial"/>
          <w:sz w:val="22"/>
          <w:szCs w:val="22"/>
        </w:rPr>
      </w:pPr>
    </w:p>
    <w:p w14:paraId="126210D9" w14:textId="77777777" w:rsidR="00375A1F" w:rsidRDefault="00EE28D8" w:rsidP="00375A1F">
      <w:pPr>
        <w:pStyle w:val="ListParagraph"/>
        <w:numPr>
          <w:ilvl w:val="0"/>
          <w:numId w:val="25"/>
        </w:numPr>
        <w:tabs>
          <w:tab w:val="left" w:pos="1980"/>
        </w:tabs>
        <w:rPr>
          <w:rFonts w:ascii="Arial" w:hAnsi="Arial" w:cs="Arial"/>
          <w:sz w:val="22"/>
          <w:szCs w:val="22"/>
        </w:rPr>
      </w:pPr>
      <w:r w:rsidRPr="00375A1F">
        <w:rPr>
          <w:rFonts w:ascii="Arial" w:hAnsi="Arial" w:cs="Arial"/>
          <w:sz w:val="22"/>
          <w:szCs w:val="22"/>
        </w:rPr>
        <w:t>Counters may be at the standard 36” height</w:t>
      </w:r>
      <w:r w:rsidR="005C0532" w:rsidRPr="00375A1F">
        <w:rPr>
          <w:rFonts w:ascii="Arial" w:hAnsi="Arial" w:cs="Arial"/>
          <w:sz w:val="22"/>
          <w:szCs w:val="22"/>
        </w:rPr>
        <w:t>,</w:t>
      </w:r>
      <w:r w:rsidRPr="00375A1F">
        <w:rPr>
          <w:rFonts w:ascii="Arial" w:hAnsi="Arial" w:cs="Arial"/>
          <w:sz w:val="22"/>
          <w:szCs w:val="22"/>
        </w:rPr>
        <w:t xml:space="preserve"> except;</w:t>
      </w:r>
    </w:p>
    <w:p w14:paraId="4354BD44" w14:textId="77777777" w:rsidR="00375A1F" w:rsidRDefault="00EE28D8" w:rsidP="00375A1F">
      <w:pPr>
        <w:pStyle w:val="ListParagraph"/>
        <w:numPr>
          <w:ilvl w:val="1"/>
          <w:numId w:val="25"/>
        </w:numPr>
        <w:tabs>
          <w:tab w:val="left" w:pos="1980"/>
        </w:tabs>
        <w:rPr>
          <w:rFonts w:ascii="Arial" w:hAnsi="Arial" w:cs="Arial"/>
          <w:sz w:val="22"/>
          <w:szCs w:val="22"/>
        </w:rPr>
      </w:pPr>
      <w:r w:rsidRPr="00375A1F">
        <w:rPr>
          <w:rFonts w:ascii="Arial" w:hAnsi="Arial" w:cs="Arial"/>
          <w:sz w:val="22"/>
          <w:szCs w:val="22"/>
        </w:rPr>
        <w:t>Sink and 30” work space at 34” in height</w:t>
      </w:r>
    </w:p>
    <w:p w14:paraId="190FF5EF" w14:textId="24EDC454" w:rsidR="00EE28D8" w:rsidRPr="00375A1F" w:rsidRDefault="00EE28D8" w:rsidP="00375A1F">
      <w:pPr>
        <w:pStyle w:val="ListParagraph"/>
        <w:numPr>
          <w:ilvl w:val="1"/>
          <w:numId w:val="25"/>
        </w:numPr>
        <w:tabs>
          <w:tab w:val="left" w:pos="1980"/>
        </w:tabs>
        <w:rPr>
          <w:rFonts w:ascii="Arial" w:hAnsi="Arial" w:cs="Arial"/>
          <w:sz w:val="22"/>
          <w:szCs w:val="22"/>
        </w:rPr>
      </w:pPr>
      <w:r w:rsidRPr="00375A1F">
        <w:rPr>
          <w:rFonts w:ascii="Arial" w:hAnsi="Arial" w:cs="Arial"/>
          <w:sz w:val="22"/>
          <w:szCs w:val="22"/>
        </w:rPr>
        <w:t>A 60” portion of the main counter where food is served at 34”</w:t>
      </w:r>
    </w:p>
    <w:p w14:paraId="1C7B5B73" w14:textId="77777777" w:rsidR="00854F0C" w:rsidRPr="007A7444" w:rsidRDefault="00854F0C" w:rsidP="00854F0C">
      <w:pPr>
        <w:pStyle w:val="ListParagraph"/>
        <w:tabs>
          <w:tab w:val="left" w:pos="1980"/>
        </w:tabs>
        <w:ind w:left="1620" w:hanging="1980"/>
        <w:rPr>
          <w:rFonts w:ascii="Arial" w:hAnsi="Arial" w:cs="Arial"/>
          <w:sz w:val="22"/>
          <w:szCs w:val="22"/>
        </w:rPr>
      </w:pPr>
    </w:p>
    <w:p w14:paraId="3142B8D1" w14:textId="77777777" w:rsidR="009643E0" w:rsidRDefault="00EE28D8" w:rsidP="009643E0">
      <w:pPr>
        <w:pStyle w:val="ListParagraph"/>
        <w:numPr>
          <w:ilvl w:val="0"/>
          <w:numId w:val="25"/>
        </w:numPr>
        <w:tabs>
          <w:tab w:val="left" w:pos="1980"/>
        </w:tabs>
        <w:rPr>
          <w:rFonts w:ascii="Arial" w:hAnsi="Arial" w:cs="Arial"/>
          <w:sz w:val="22"/>
          <w:szCs w:val="22"/>
        </w:rPr>
      </w:pPr>
      <w:r w:rsidRPr="009643E0">
        <w:rPr>
          <w:rFonts w:ascii="Arial" w:hAnsi="Arial" w:cs="Arial"/>
          <w:sz w:val="22"/>
          <w:szCs w:val="22"/>
        </w:rPr>
        <w:t xml:space="preserve">The kitchen sink </w:t>
      </w:r>
      <w:r w:rsidR="00383A9E" w:rsidRPr="009643E0">
        <w:rPr>
          <w:rFonts w:ascii="Arial" w:hAnsi="Arial" w:cs="Arial"/>
          <w:sz w:val="22"/>
          <w:szCs w:val="22"/>
        </w:rPr>
        <w:t>and work area must provide knee and toe space, the hot water line and drain must be insulated. The knee space at the sink must be 36” in width if the kitchen i</w:t>
      </w:r>
      <w:r w:rsidR="00854F0C" w:rsidRPr="009643E0">
        <w:rPr>
          <w:rFonts w:ascii="Arial" w:hAnsi="Arial" w:cs="Arial"/>
          <w:sz w:val="22"/>
          <w:szCs w:val="22"/>
        </w:rPr>
        <w:t>s U</w:t>
      </w:r>
      <w:r w:rsidR="00AD3C76" w:rsidRPr="009643E0">
        <w:rPr>
          <w:rFonts w:ascii="Arial" w:hAnsi="Arial" w:cs="Arial"/>
          <w:sz w:val="22"/>
          <w:szCs w:val="22"/>
        </w:rPr>
        <w:t>-</w:t>
      </w:r>
      <w:r w:rsidR="00383A9E" w:rsidRPr="009643E0">
        <w:rPr>
          <w:rFonts w:ascii="Arial" w:hAnsi="Arial" w:cs="Arial"/>
          <w:sz w:val="22"/>
          <w:szCs w:val="22"/>
        </w:rPr>
        <w:t xml:space="preserve">shaped and less than 60” wide </w:t>
      </w:r>
      <w:r w:rsidR="00B778F1" w:rsidRPr="009643E0">
        <w:rPr>
          <w:rFonts w:ascii="Arial" w:hAnsi="Arial" w:cs="Arial"/>
          <w:sz w:val="22"/>
          <w:szCs w:val="22"/>
        </w:rPr>
        <w:t xml:space="preserve">(48”) </w:t>
      </w:r>
      <w:r w:rsidR="005C0532" w:rsidRPr="009643E0">
        <w:rPr>
          <w:rFonts w:ascii="Arial" w:hAnsi="Arial" w:cs="Arial"/>
          <w:sz w:val="22"/>
          <w:szCs w:val="22"/>
        </w:rPr>
        <w:t>to p</w:t>
      </w:r>
      <w:r w:rsidR="007F06E9" w:rsidRPr="009643E0">
        <w:rPr>
          <w:rFonts w:ascii="Arial" w:hAnsi="Arial" w:cs="Arial"/>
          <w:sz w:val="22"/>
          <w:szCs w:val="22"/>
        </w:rPr>
        <w:t>rovide a tee</w:t>
      </w:r>
      <w:r w:rsidR="00854F0C" w:rsidRPr="009643E0">
        <w:rPr>
          <w:rFonts w:ascii="Arial" w:hAnsi="Arial" w:cs="Arial"/>
          <w:sz w:val="22"/>
          <w:szCs w:val="22"/>
        </w:rPr>
        <w:t xml:space="preserve"> turning space;</w:t>
      </w:r>
    </w:p>
    <w:p w14:paraId="3CCFEA89" w14:textId="77777777" w:rsidR="009643E0" w:rsidRDefault="009643E0" w:rsidP="009643E0">
      <w:pPr>
        <w:pStyle w:val="ListParagraph"/>
        <w:tabs>
          <w:tab w:val="left" w:pos="1980"/>
        </w:tabs>
        <w:ind w:left="1080"/>
        <w:rPr>
          <w:rFonts w:ascii="Arial" w:hAnsi="Arial" w:cs="Arial"/>
          <w:sz w:val="22"/>
          <w:szCs w:val="22"/>
        </w:rPr>
      </w:pPr>
    </w:p>
    <w:p w14:paraId="791A56BA" w14:textId="77777777" w:rsidR="009643E0" w:rsidRDefault="00383A9E" w:rsidP="009643E0">
      <w:pPr>
        <w:pStyle w:val="ListParagraph"/>
        <w:numPr>
          <w:ilvl w:val="0"/>
          <w:numId w:val="25"/>
        </w:numPr>
        <w:tabs>
          <w:tab w:val="left" w:pos="1980"/>
        </w:tabs>
        <w:rPr>
          <w:rFonts w:ascii="Arial" w:hAnsi="Arial" w:cs="Arial"/>
          <w:sz w:val="22"/>
          <w:szCs w:val="22"/>
        </w:rPr>
      </w:pPr>
      <w:r w:rsidRPr="009643E0">
        <w:rPr>
          <w:rFonts w:ascii="Arial" w:hAnsi="Arial" w:cs="Arial"/>
          <w:sz w:val="22"/>
          <w:szCs w:val="22"/>
        </w:rPr>
        <w:t>The kitchen must be a minimum of 48” between the face of the cabinets and the opposing wall or face of appliances (not including handles)</w:t>
      </w:r>
      <w:r w:rsidR="00854F0C" w:rsidRPr="009643E0">
        <w:rPr>
          <w:rFonts w:ascii="Arial" w:hAnsi="Arial" w:cs="Arial"/>
          <w:sz w:val="22"/>
          <w:szCs w:val="22"/>
        </w:rPr>
        <w:t>;</w:t>
      </w:r>
    </w:p>
    <w:p w14:paraId="390FE049" w14:textId="77777777" w:rsidR="009643E0" w:rsidRPr="009643E0" w:rsidRDefault="009643E0" w:rsidP="009643E0">
      <w:pPr>
        <w:pStyle w:val="ListParagraph"/>
        <w:rPr>
          <w:rFonts w:ascii="Arial" w:hAnsi="Arial" w:cs="Arial"/>
          <w:sz w:val="22"/>
          <w:szCs w:val="22"/>
        </w:rPr>
      </w:pPr>
    </w:p>
    <w:p w14:paraId="0809E91B" w14:textId="77777777" w:rsidR="009643E0" w:rsidRDefault="00383A9E" w:rsidP="009643E0">
      <w:pPr>
        <w:pStyle w:val="ListParagraph"/>
        <w:numPr>
          <w:ilvl w:val="0"/>
          <w:numId w:val="25"/>
        </w:numPr>
        <w:tabs>
          <w:tab w:val="left" w:pos="1980"/>
        </w:tabs>
        <w:rPr>
          <w:rFonts w:ascii="Arial" w:hAnsi="Arial" w:cs="Arial"/>
          <w:sz w:val="22"/>
          <w:szCs w:val="22"/>
        </w:rPr>
      </w:pPr>
      <w:r w:rsidRPr="009643E0">
        <w:rPr>
          <w:rFonts w:ascii="Arial" w:hAnsi="Arial" w:cs="Arial"/>
          <w:sz w:val="22"/>
          <w:szCs w:val="22"/>
        </w:rPr>
        <w:t>All switches, receptacles and controls must be within reach ranges. Controls must be located on the front of a cooktop or oven and may not require reach</w:t>
      </w:r>
      <w:r w:rsidR="009F2F03" w:rsidRPr="009643E0">
        <w:rPr>
          <w:rFonts w:ascii="Arial" w:hAnsi="Arial" w:cs="Arial"/>
          <w:sz w:val="22"/>
          <w:szCs w:val="22"/>
        </w:rPr>
        <w:t>ing over the burners to operate</w:t>
      </w:r>
      <w:r w:rsidR="00854F0C" w:rsidRPr="009643E0">
        <w:rPr>
          <w:rFonts w:ascii="Arial" w:hAnsi="Arial" w:cs="Arial"/>
          <w:sz w:val="22"/>
          <w:szCs w:val="22"/>
        </w:rPr>
        <w:t>;</w:t>
      </w:r>
    </w:p>
    <w:p w14:paraId="64261842" w14:textId="77777777" w:rsidR="009643E0" w:rsidRPr="009643E0" w:rsidRDefault="009643E0" w:rsidP="009643E0">
      <w:pPr>
        <w:pStyle w:val="ListParagraph"/>
        <w:rPr>
          <w:rFonts w:ascii="Arial" w:hAnsi="Arial" w:cs="Arial"/>
          <w:sz w:val="22"/>
          <w:szCs w:val="22"/>
        </w:rPr>
      </w:pPr>
    </w:p>
    <w:p w14:paraId="23A502F8" w14:textId="77777777" w:rsidR="009643E0" w:rsidRDefault="00383A9E" w:rsidP="009643E0">
      <w:pPr>
        <w:pStyle w:val="ListParagraph"/>
        <w:numPr>
          <w:ilvl w:val="0"/>
          <w:numId w:val="25"/>
        </w:numPr>
        <w:tabs>
          <w:tab w:val="left" w:pos="1980"/>
        </w:tabs>
        <w:rPr>
          <w:rFonts w:ascii="Arial" w:hAnsi="Arial" w:cs="Arial"/>
          <w:sz w:val="22"/>
          <w:szCs w:val="22"/>
        </w:rPr>
      </w:pPr>
      <w:r w:rsidRPr="009643E0">
        <w:rPr>
          <w:rFonts w:ascii="Arial" w:hAnsi="Arial" w:cs="Arial"/>
          <w:sz w:val="22"/>
          <w:szCs w:val="22"/>
        </w:rPr>
        <w:t>All switches and controls must be operable with one hand, and be a maximum of 5</w:t>
      </w:r>
      <w:r w:rsidR="007E42AE" w:rsidRPr="009643E0">
        <w:rPr>
          <w:rFonts w:ascii="Arial" w:hAnsi="Arial" w:cs="Arial"/>
          <w:sz w:val="22"/>
          <w:szCs w:val="22"/>
        </w:rPr>
        <w:t xml:space="preserve"> </w:t>
      </w:r>
      <w:r w:rsidR="009F2F03" w:rsidRPr="009643E0">
        <w:rPr>
          <w:rFonts w:ascii="Arial" w:hAnsi="Arial" w:cs="Arial"/>
          <w:sz w:val="22"/>
          <w:szCs w:val="22"/>
        </w:rPr>
        <w:t>lbs</w:t>
      </w:r>
      <w:r w:rsidR="00854F0C" w:rsidRPr="009643E0">
        <w:rPr>
          <w:rFonts w:ascii="Arial" w:hAnsi="Arial" w:cs="Arial"/>
          <w:sz w:val="22"/>
          <w:szCs w:val="22"/>
        </w:rPr>
        <w:t>.</w:t>
      </w:r>
      <w:r w:rsidR="009F2F03" w:rsidRPr="009643E0">
        <w:rPr>
          <w:rFonts w:ascii="Arial" w:hAnsi="Arial" w:cs="Arial"/>
          <w:sz w:val="22"/>
          <w:szCs w:val="22"/>
        </w:rPr>
        <w:t xml:space="preserve"> of pressure to operate</w:t>
      </w:r>
      <w:r w:rsidR="00854F0C" w:rsidRPr="009643E0">
        <w:rPr>
          <w:rFonts w:ascii="Arial" w:hAnsi="Arial" w:cs="Arial"/>
          <w:sz w:val="22"/>
          <w:szCs w:val="22"/>
        </w:rPr>
        <w:t>;</w:t>
      </w:r>
    </w:p>
    <w:p w14:paraId="34C98797" w14:textId="77777777" w:rsidR="009643E0" w:rsidRPr="009643E0" w:rsidRDefault="009643E0" w:rsidP="009643E0">
      <w:pPr>
        <w:pStyle w:val="ListParagraph"/>
        <w:rPr>
          <w:rFonts w:ascii="Arial" w:hAnsi="Arial" w:cs="Arial"/>
          <w:sz w:val="22"/>
          <w:szCs w:val="22"/>
        </w:rPr>
      </w:pPr>
    </w:p>
    <w:p w14:paraId="11708903" w14:textId="0C6FB6EE" w:rsidR="00383A9E" w:rsidRPr="009643E0" w:rsidRDefault="00383A9E" w:rsidP="009643E0">
      <w:pPr>
        <w:pStyle w:val="ListParagraph"/>
        <w:numPr>
          <w:ilvl w:val="0"/>
          <w:numId w:val="25"/>
        </w:numPr>
        <w:tabs>
          <w:tab w:val="left" w:pos="1980"/>
        </w:tabs>
        <w:rPr>
          <w:rFonts w:ascii="Arial" w:hAnsi="Arial" w:cs="Arial"/>
          <w:sz w:val="22"/>
          <w:szCs w:val="22"/>
        </w:rPr>
      </w:pPr>
      <w:r w:rsidRPr="009643E0">
        <w:rPr>
          <w:rFonts w:ascii="Arial" w:hAnsi="Arial" w:cs="Arial"/>
          <w:sz w:val="22"/>
          <w:szCs w:val="22"/>
        </w:rPr>
        <w:t>All floors and changes in level must comply with Division III of 11A and Chapter 2 of the FHADM</w:t>
      </w:r>
      <w:r w:rsidR="00854F0C" w:rsidRPr="009643E0">
        <w:rPr>
          <w:rFonts w:ascii="Arial" w:hAnsi="Arial" w:cs="Arial"/>
          <w:sz w:val="22"/>
          <w:szCs w:val="22"/>
        </w:rPr>
        <w:t>.</w:t>
      </w:r>
    </w:p>
    <w:p w14:paraId="2544EF50" w14:textId="77777777" w:rsidR="00EE28D8" w:rsidRPr="007A7444" w:rsidRDefault="00EE28D8" w:rsidP="00854F0C">
      <w:pPr>
        <w:tabs>
          <w:tab w:val="left" w:pos="1980"/>
        </w:tabs>
        <w:ind w:left="1620" w:hanging="1980"/>
        <w:rPr>
          <w:rFonts w:ascii="Arial" w:hAnsi="Arial" w:cs="Arial"/>
          <w:sz w:val="22"/>
          <w:szCs w:val="22"/>
          <w:vertAlign w:val="subscript"/>
        </w:rPr>
      </w:pPr>
    </w:p>
    <w:p w14:paraId="609DA4E1" w14:textId="608A2302" w:rsidR="0000494D" w:rsidRPr="007A7444" w:rsidRDefault="00047445" w:rsidP="009643E0">
      <w:pPr>
        <w:tabs>
          <w:tab w:val="left" w:pos="1980"/>
        </w:tabs>
        <w:ind w:left="720"/>
        <w:rPr>
          <w:rFonts w:ascii="Arial" w:hAnsi="Arial" w:cs="Arial"/>
          <w:sz w:val="22"/>
          <w:szCs w:val="22"/>
        </w:rPr>
      </w:pPr>
      <w:r w:rsidRPr="007A7444">
        <w:rPr>
          <w:rFonts w:ascii="Arial" w:hAnsi="Arial" w:cs="Arial"/>
          <w:sz w:val="22"/>
          <w:szCs w:val="22"/>
        </w:rPr>
        <w:t xml:space="preserve">The Department may also approve kitchens compliant with Chapter 11B or any of the </w:t>
      </w:r>
      <w:r w:rsidR="00854F0C">
        <w:rPr>
          <w:rFonts w:ascii="Arial" w:hAnsi="Arial" w:cs="Arial"/>
          <w:sz w:val="22"/>
          <w:szCs w:val="22"/>
        </w:rPr>
        <w:t>six</w:t>
      </w:r>
      <w:r w:rsidRPr="007A7444">
        <w:rPr>
          <w:rFonts w:ascii="Arial" w:hAnsi="Arial" w:cs="Arial"/>
          <w:sz w:val="22"/>
          <w:szCs w:val="22"/>
        </w:rPr>
        <w:t xml:space="preserve"> “Safe Harbors” listed</w:t>
      </w:r>
      <w:r w:rsidR="001D1C13" w:rsidRPr="007A7444">
        <w:rPr>
          <w:rFonts w:ascii="Arial" w:hAnsi="Arial" w:cs="Arial"/>
          <w:sz w:val="22"/>
          <w:szCs w:val="22"/>
        </w:rPr>
        <w:t xml:space="preserve"> in the FHADM preface on a case-by-</w:t>
      </w:r>
      <w:r w:rsidRPr="007A7444">
        <w:rPr>
          <w:rFonts w:ascii="Arial" w:hAnsi="Arial" w:cs="Arial"/>
          <w:sz w:val="22"/>
          <w:szCs w:val="22"/>
        </w:rPr>
        <w:t>case basis.</w:t>
      </w:r>
    </w:p>
    <w:p w14:paraId="1ACB3D42" w14:textId="77777777" w:rsidR="00C956DB" w:rsidRPr="007A7444" w:rsidRDefault="00C956DB" w:rsidP="00854F0C">
      <w:pPr>
        <w:pStyle w:val="ListParagraph"/>
        <w:tabs>
          <w:tab w:val="left" w:pos="1980"/>
        </w:tabs>
        <w:ind w:left="1620" w:hanging="1980"/>
        <w:rPr>
          <w:rFonts w:ascii="Times New Roman" w:hAnsi="Times New Roman"/>
          <w:color w:val="000000"/>
          <w:sz w:val="22"/>
          <w:szCs w:val="22"/>
          <w:lang w:eastAsia="zh-TW"/>
        </w:rPr>
      </w:pPr>
    </w:p>
    <w:p w14:paraId="020131F3" w14:textId="12EC5699" w:rsidR="005035CC" w:rsidRPr="009643E0" w:rsidRDefault="001D1C13" w:rsidP="009643E0">
      <w:pPr>
        <w:pStyle w:val="ListParagraph"/>
        <w:numPr>
          <w:ilvl w:val="0"/>
          <w:numId w:val="24"/>
        </w:numPr>
        <w:tabs>
          <w:tab w:val="left" w:pos="1980"/>
        </w:tabs>
        <w:rPr>
          <w:rFonts w:ascii="Arial" w:hAnsi="Arial" w:cs="Arial"/>
          <w:color w:val="000000"/>
          <w:sz w:val="22"/>
          <w:szCs w:val="22"/>
        </w:rPr>
      </w:pPr>
      <w:r w:rsidRPr="009643E0">
        <w:rPr>
          <w:rFonts w:ascii="Arial" w:hAnsi="Arial" w:cs="Arial"/>
          <w:b/>
          <w:color w:val="000000"/>
          <w:sz w:val="22"/>
          <w:szCs w:val="22"/>
          <w:u w:val="single"/>
        </w:rPr>
        <w:t>Garbage Disposals in Dwelling Unit Kitchens</w:t>
      </w:r>
      <w:r w:rsidR="00AD3C76" w:rsidRPr="009643E0">
        <w:rPr>
          <w:rFonts w:ascii="Arial" w:hAnsi="Arial" w:cs="Arial"/>
          <w:color w:val="000000"/>
          <w:sz w:val="22"/>
          <w:szCs w:val="22"/>
        </w:rPr>
        <w:t>: In Information S</w:t>
      </w:r>
      <w:r w:rsidRPr="009643E0">
        <w:rPr>
          <w:rFonts w:ascii="Arial" w:hAnsi="Arial" w:cs="Arial"/>
          <w:color w:val="000000"/>
          <w:sz w:val="22"/>
          <w:szCs w:val="22"/>
        </w:rPr>
        <w:t>heet DA-03</w:t>
      </w:r>
      <w:r w:rsidR="005035CC" w:rsidRPr="009643E0">
        <w:rPr>
          <w:rFonts w:ascii="Arial" w:hAnsi="Arial" w:cs="Arial"/>
          <w:color w:val="000000"/>
          <w:sz w:val="22"/>
          <w:szCs w:val="22"/>
        </w:rPr>
        <w:t>, the D</w:t>
      </w:r>
      <w:r w:rsidRPr="009643E0">
        <w:rPr>
          <w:rFonts w:ascii="Arial" w:hAnsi="Arial" w:cs="Arial"/>
          <w:color w:val="000000"/>
          <w:sz w:val="22"/>
          <w:szCs w:val="22"/>
        </w:rPr>
        <w:t xml:space="preserve">epartment responded </w:t>
      </w:r>
      <w:r w:rsidR="005035CC" w:rsidRPr="009643E0">
        <w:rPr>
          <w:rFonts w:ascii="Arial" w:hAnsi="Arial" w:cs="Arial"/>
          <w:color w:val="000000"/>
          <w:sz w:val="22"/>
          <w:szCs w:val="22"/>
        </w:rPr>
        <w:t xml:space="preserve">to </w:t>
      </w:r>
      <w:r w:rsidRPr="009643E0">
        <w:rPr>
          <w:rFonts w:ascii="Arial" w:hAnsi="Arial" w:cs="Arial"/>
          <w:color w:val="000000"/>
          <w:sz w:val="22"/>
          <w:szCs w:val="22"/>
        </w:rPr>
        <w:t xml:space="preserve">clients who had stated that they did not believe garbage disposal were allowed under sinks in adaptable kitchens. After discussion with both Fair Housing First and HCD, it was determined that neither the Fair Housing Act </w:t>
      </w:r>
      <w:r w:rsidR="005035CC" w:rsidRPr="009643E0">
        <w:rPr>
          <w:rFonts w:ascii="Arial" w:hAnsi="Arial" w:cs="Arial"/>
          <w:color w:val="000000"/>
          <w:sz w:val="22"/>
          <w:szCs w:val="22"/>
        </w:rPr>
        <w:t>n</w:t>
      </w:r>
      <w:r w:rsidRPr="009643E0">
        <w:rPr>
          <w:rFonts w:ascii="Arial" w:hAnsi="Arial" w:cs="Arial"/>
          <w:color w:val="000000"/>
          <w:sz w:val="22"/>
          <w:szCs w:val="22"/>
        </w:rPr>
        <w:t xml:space="preserve">or Chapter 11A prohibits the use of garbage disposals. What was not made clear is that </w:t>
      </w:r>
      <w:r w:rsidR="00B778F1" w:rsidRPr="009643E0">
        <w:rPr>
          <w:rFonts w:ascii="Arial" w:hAnsi="Arial" w:cs="Arial"/>
          <w:color w:val="000000"/>
          <w:sz w:val="22"/>
          <w:szCs w:val="22"/>
        </w:rPr>
        <w:t xml:space="preserve">although garbage disposals are not </w:t>
      </w:r>
      <w:r w:rsidR="00F66A7A" w:rsidRPr="009643E0">
        <w:rPr>
          <w:rFonts w:ascii="Arial" w:hAnsi="Arial" w:cs="Arial"/>
          <w:color w:val="000000"/>
          <w:sz w:val="22"/>
          <w:szCs w:val="22"/>
        </w:rPr>
        <w:t xml:space="preserve">prohibited, </w:t>
      </w:r>
      <w:r w:rsidRPr="009643E0">
        <w:rPr>
          <w:rFonts w:ascii="Arial" w:hAnsi="Arial" w:cs="Arial"/>
          <w:color w:val="000000"/>
          <w:sz w:val="22"/>
          <w:szCs w:val="22"/>
        </w:rPr>
        <w:t xml:space="preserve">their use is modified by other sections of the code. At the time of </w:t>
      </w:r>
      <w:r w:rsidR="00B1235C" w:rsidRPr="009643E0">
        <w:rPr>
          <w:rFonts w:ascii="Arial" w:hAnsi="Arial" w:cs="Arial"/>
          <w:color w:val="000000"/>
          <w:sz w:val="22"/>
          <w:szCs w:val="22"/>
        </w:rPr>
        <w:t>initial installation, a garbage disposal</w:t>
      </w:r>
      <w:r w:rsidRPr="009643E0">
        <w:rPr>
          <w:rFonts w:ascii="Arial" w:hAnsi="Arial" w:cs="Arial"/>
          <w:color w:val="000000"/>
          <w:sz w:val="22"/>
          <w:szCs w:val="22"/>
        </w:rPr>
        <w:t xml:space="preserve"> must not infringe upon the required knee space under the sink. HCD</w:t>
      </w:r>
      <w:r w:rsidR="005035CC" w:rsidRPr="009643E0">
        <w:rPr>
          <w:rFonts w:ascii="Arial" w:hAnsi="Arial" w:cs="Arial"/>
          <w:color w:val="000000"/>
          <w:sz w:val="22"/>
          <w:szCs w:val="22"/>
        </w:rPr>
        <w:t>,</w:t>
      </w:r>
      <w:r w:rsidRPr="009643E0">
        <w:rPr>
          <w:rFonts w:ascii="Arial" w:hAnsi="Arial" w:cs="Arial"/>
          <w:color w:val="000000"/>
          <w:sz w:val="22"/>
          <w:szCs w:val="22"/>
        </w:rPr>
        <w:t xml:space="preserve"> in the July 1, 2015 supplement</w:t>
      </w:r>
      <w:r w:rsidR="005035CC" w:rsidRPr="009643E0">
        <w:rPr>
          <w:rFonts w:ascii="Arial" w:hAnsi="Arial" w:cs="Arial"/>
          <w:color w:val="000000"/>
          <w:sz w:val="22"/>
          <w:szCs w:val="22"/>
        </w:rPr>
        <w:t>,</w:t>
      </w:r>
      <w:r w:rsidRPr="009643E0">
        <w:rPr>
          <w:rFonts w:ascii="Arial" w:hAnsi="Arial" w:cs="Arial"/>
          <w:color w:val="000000"/>
          <w:sz w:val="22"/>
          <w:szCs w:val="22"/>
        </w:rPr>
        <w:t xml:space="preserve"> has clarified the language </w:t>
      </w:r>
      <w:r w:rsidR="00B1235C" w:rsidRPr="009643E0">
        <w:rPr>
          <w:rFonts w:ascii="Arial" w:hAnsi="Arial" w:cs="Arial"/>
          <w:color w:val="000000"/>
          <w:sz w:val="22"/>
          <w:szCs w:val="22"/>
        </w:rPr>
        <w:t xml:space="preserve">regarding knee and toe space requirements </w:t>
      </w:r>
      <w:r w:rsidRPr="009643E0">
        <w:rPr>
          <w:rFonts w:ascii="Arial" w:hAnsi="Arial" w:cs="Arial"/>
          <w:color w:val="000000"/>
          <w:sz w:val="22"/>
          <w:szCs w:val="22"/>
        </w:rPr>
        <w:t>to insure that th</w:t>
      </w:r>
      <w:r w:rsidR="00B1235C" w:rsidRPr="009643E0">
        <w:rPr>
          <w:rFonts w:ascii="Arial" w:hAnsi="Arial" w:cs="Arial"/>
          <w:color w:val="000000"/>
          <w:sz w:val="22"/>
          <w:szCs w:val="22"/>
        </w:rPr>
        <w:t>ey</w:t>
      </w:r>
      <w:r w:rsidRPr="009643E0">
        <w:rPr>
          <w:rFonts w:ascii="Arial" w:hAnsi="Arial" w:cs="Arial"/>
          <w:color w:val="000000"/>
          <w:sz w:val="22"/>
          <w:szCs w:val="22"/>
        </w:rPr>
        <w:t xml:space="preserve"> </w:t>
      </w:r>
      <w:r w:rsidR="00B1235C" w:rsidRPr="009643E0">
        <w:rPr>
          <w:rFonts w:ascii="Arial" w:hAnsi="Arial" w:cs="Arial"/>
          <w:color w:val="000000"/>
          <w:sz w:val="22"/>
          <w:szCs w:val="22"/>
        </w:rPr>
        <w:t>are</w:t>
      </w:r>
      <w:r w:rsidRPr="009643E0">
        <w:rPr>
          <w:rFonts w:ascii="Arial" w:hAnsi="Arial" w:cs="Arial"/>
          <w:color w:val="000000"/>
          <w:sz w:val="22"/>
          <w:szCs w:val="22"/>
        </w:rPr>
        <w:t xml:space="preserve"> better understood. Section 1133A.3 has been rewritten </w:t>
      </w:r>
      <w:r w:rsidR="005035CC" w:rsidRPr="009643E0">
        <w:rPr>
          <w:rFonts w:ascii="Arial" w:hAnsi="Arial" w:cs="Arial"/>
          <w:color w:val="000000"/>
          <w:sz w:val="22"/>
          <w:szCs w:val="22"/>
        </w:rPr>
        <w:t>to say “Sinks and work surfaces…” “…</w:t>
      </w:r>
      <w:r w:rsidRPr="009643E0">
        <w:rPr>
          <w:rFonts w:ascii="Arial" w:hAnsi="Arial" w:cs="Arial"/>
          <w:color w:val="000000"/>
          <w:sz w:val="22"/>
          <w:szCs w:val="22"/>
        </w:rPr>
        <w:t>shall be provided with knee and toe space complying with Section 1133A.</w:t>
      </w:r>
      <w:r w:rsidR="00B1235C" w:rsidRPr="009643E0">
        <w:rPr>
          <w:rFonts w:ascii="Arial" w:hAnsi="Arial" w:cs="Arial"/>
          <w:color w:val="000000"/>
          <w:sz w:val="22"/>
          <w:szCs w:val="22"/>
        </w:rPr>
        <w:t>”</w:t>
      </w:r>
    </w:p>
    <w:p w14:paraId="4B5189EE" w14:textId="77777777" w:rsidR="005035CC" w:rsidRPr="007A7444" w:rsidRDefault="005035CC" w:rsidP="009643E0">
      <w:pPr>
        <w:pStyle w:val="ListParagraph"/>
        <w:tabs>
          <w:tab w:val="left" w:pos="1980"/>
        </w:tabs>
        <w:ind w:left="360" w:right="43"/>
        <w:rPr>
          <w:rFonts w:ascii="Arial" w:hAnsi="Arial" w:cs="Arial"/>
          <w:b/>
          <w:color w:val="000000"/>
          <w:sz w:val="22"/>
          <w:szCs w:val="22"/>
          <w:u w:val="single"/>
        </w:rPr>
      </w:pPr>
    </w:p>
    <w:p w14:paraId="67D6D676" w14:textId="1174595C" w:rsidR="005035CC" w:rsidRPr="007A7444" w:rsidRDefault="00B1235C" w:rsidP="009643E0">
      <w:pPr>
        <w:pStyle w:val="ListParagraph"/>
        <w:tabs>
          <w:tab w:val="left" w:pos="1980"/>
        </w:tabs>
        <w:ind w:left="360" w:right="43"/>
        <w:rPr>
          <w:rFonts w:ascii="Arial" w:hAnsi="Arial" w:cs="Arial"/>
          <w:color w:val="000000"/>
          <w:sz w:val="22"/>
          <w:szCs w:val="22"/>
        </w:rPr>
      </w:pPr>
      <w:r w:rsidRPr="007A7444">
        <w:rPr>
          <w:rFonts w:ascii="Arial" w:hAnsi="Arial" w:cs="Arial"/>
          <w:color w:val="000000"/>
          <w:sz w:val="22"/>
          <w:szCs w:val="22"/>
        </w:rPr>
        <w:t>The FHADM on page 7.15 shows a diagram titled “Knee Space at Sink with Garbage Disp</w:t>
      </w:r>
      <w:r w:rsidR="005035CC" w:rsidRPr="007A7444">
        <w:rPr>
          <w:rFonts w:ascii="Arial" w:hAnsi="Arial" w:cs="Arial"/>
          <w:color w:val="000000"/>
          <w:sz w:val="22"/>
          <w:szCs w:val="22"/>
        </w:rPr>
        <w:t>osal and Pipe Protection Panel.”</w:t>
      </w:r>
      <w:r w:rsidRPr="007A7444">
        <w:rPr>
          <w:rFonts w:ascii="Arial" w:hAnsi="Arial" w:cs="Arial"/>
          <w:color w:val="000000"/>
          <w:sz w:val="22"/>
          <w:szCs w:val="22"/>
        </w:rPr>
        <w:t xml:space="preserve"> In this diagram</w:t>
      </w:r>
      <w:r w:rsidR="005035CC" w:rsidRPr="007A7444">
        <w:rPr>
          <w:rFonts w:ascii="Arial" w:hAnsi="Arial" w:cs="Arial"/>
          <w:color w:val="000000"/>
          <w:sz w:val="22"/>
          <w:szCs w:val="22"/>
        </w:rPr>
        <w:t>,</w:t>
      </w:r>
      <w:r w:rsidRPr="007A7444">
        <w:rPr>
          <w:rFonts w:ascii="Arial" w:hAnsi="Arial" w:cs="Arial"/>
          <w:color w:val="000000"/>
          <w:sz w:val="22"/>
          <w:szCs w:val="22"/>
        </w:rPr>
        <w:t xml:space="preserve"> it shows the required 27” high knee space going back 8” unencumbered by the disposal. The caption at the side </w:t>
      </w:r>
      <w:r w:rsidR="000B19C6" w:rsidRPr="007A7444">
        <w:rPr>
          <w:rFonts w:ascii="Arial" w:hAnsi="Arial" w:cs="Arial"/>
          <w:color w:val="000000"/>
          <w:sz w:val="22"/>
          <w:szCs w:val="22"/>
        </w:rPr>
        <w:t xml:space="preserve">of the diagram </w:t>
      </w:r>
      <w:r w:rsidR="005035CC" w:rsidRPr="007A7444">
        <w:rPr>
          <w:rFonts w:ascii="Arial" w:hAnsi="Arial" w:cs="Arial"/>
          <w:color w:val="000000"/>
          <w:sz w:val="22"/>
          <w:szCs w:val="22"/>
        </w:rPr>
        <w:t xml:space="preserve">states </w:t>
      </w:r>
      <w:r w:rsidR="003400C7" w:rsidRPr="007A7444">
        <w:rPr>
          <w:rFonts w:ascii="Arial" w:hAnsi="Arial" w:cs="Arial"/>
          <w:color w:val="000000"/>
          <w:sz w:val="22"/>
          <w:szCs w:val="22"/>
        </w:rPr>
        <w:t xml:space="preserve">a 9” deep sink is allowed and a </w:t>
      </w:r>
      <w:r w:rsidR="005035CC" w:rsidRPr="007A7444">
        <w:rPr>
          <w:rFonts w:ascii="Arial" w:hAnsi="Arial" w:cs="Arial"/>
          <w:color w:val="000000"/>
          <w:sz w:val="22"/>
          <w:szCs w:val="22"/>
        </w:rPr>
        <w:t>rear drain preferred.”</w:t>
      </w:r>
    </w:p>
    <w:p w14:paraId="4FD588FB" w14:textId="77777777" w:rsidR="005035CC" w:rsidRPr="007A7444" w:rsidRDefault="005035CC" w:rsidP="009643E0">
      <w:pPr>
        <w:pStyle w:val="ListParagraph"/>
        <w:tabs>
          <w:tab w:val="left" w:pos="1980"/>
        </w:tabs>
        <w:ind w:left="360" w:right="43"/>
        <w:rPr>
          <w:rFonts w:ascii="Arial" w:hAnsi="Arial" w:cs="Arial"/>
          <w:color w:val="000000"/>
          <w:sz w:val="22"/>
          <w:szCs w:val="22"/>
        </w:rPr>
      </w:pPr>
    </w:p>
    <w:p w14:paraId="2DF9851B" w14:textId="77777777" w:rsidR="009643E0" w:rsidRDefault="000B19C6" w:rsidP="009643E0">
      <w:pPr>
        <w:pStyle w:val="ListParagraph"/>
        <w:tabs>
          <w:tab w:val="left" w:pos="1980"/>
        </w:tabs>
        <w:ind w:left="360" w:right="43"/>
        <w:rPr>
          <w:rFonts w:ascii="Arial" w:hAnsi="Arial" w:cs="Arial"/>
          <w:color w:val="000000"/>
          <w:sz w:val="22"/>
          <w:szCs w:val="22"/>
          <w:u w:val="single"/>
        </w:rPr>
      </w:pPr>
      <w:r w:rsidRPr="007A7444">
        <w:rPr>
          <w:rFonts w:ascii="Arial" w:hAnsi="Arial" w:cs="Arial"/>
          <w:color w:val="000000"/>
          <w:sz w:val="22"/>
          <w:szCs w:val="22"/>
        </w:rPr>
        <w:t xml:space="preserve">The </w:t>
      </w:r>
      <w:r w:rsidR="0084286D" w:rsidRPr="007A7444">
        <w:rPr>
          <w:rFonts w:ascii="Arial" w:hAnsi="Arial" w:cs="Arial"/>
          <w:color w:val="000000"/>
          <w:sz w:val="22"/>
          <w:szCs w:val="22"/>
        </w:rPr>
        <w:t xml:space="preserve">average kitchen </w:t>
      </w:r>
      <w:r w:rsidRPr="007A7444">
        <w:rPr>
          <w:rFonts w:ascii="Arial" w:hAnsi="Arial" w:cs="Arial"/>
          <w:color w:val="000000"/>
          <w:sz w:val="22"/>
          <w:szCs w:val="22"/>
        </w:rPr>
        <w:t xml:space="preserve">cabinet </w:t>
      </w:r>
      <w:r w:rsidR="0084286D" w:rsidRPr="007A7444">
        <w:rPr>
          <w:rFonts w:ascii="Arial" w:hAnsi="Arial" w:cs="Arial"/>
          <w:color w:val="000000"/>
          <w:sz w:val="22"/>
          <w:szCs w:val="22"/>
        </w:rPr>
        <w:t>measures approximately</w:t>
      </w:r>
      <w:r w:rsidRPr="007A7444">
        <w:rPr>
          <w:rFonts w:ascii="Arial" w:hAnsi="Arial" w:cs="Arial"/>
          <w:color w:val="000000"/>
          <w:sz w:val="22"/>
          <w:szCs w:val="22"/>
        </w:rPr>
        <w:t xml:space="preserve"> 24” maximum. </w:t>
      </w:r>
      <w:r w:rsidR="003400C7" w:rsidRPr="007A7444">
        <w:rPr>
          <w:rFonts w:ascii="Arial" w:hAnsi="Arial" w:cs="Arial"/>
          <w:color w:val="000000"/>
          <w:sz w:val="22"/>
          <w:szCs w:val="22"/>
        </w:rPr>
        <w:t xml:space="preserve">Centered exactly on </w:t>
      </w:r>
      <w:r w:rsidR="007E42AE">
        <w:rPr>
          <w:rFonts w:ascii="Arial" w:hAnsi="Arial" w:cs="Arial"/>
          <w:color w:val="000000"/>
          <w:sz w:val="22"/>
          <w:szCs w:val="22"/>
        </w:rPr>
        <w:t xml:space="preserve">      </w:t>
      </w:r>
      <w:r w:rsidR="003400C7" w:rsidRPr="007A7444">
        <w:rPr>
          <w:rFonts w:ascii="Arial" w:hAnsi="Arial" w:cs="Arial"/>
          <w:color w:val="000000"/>
          <w:sz w:val="22"/>
          <w:szCs w:val="22"/>
        </w:rPr>
        <w:t>a 24” cabinet</w:t>
      </w:r>
      <w:r w:rsidR="005035CC" w:rsidRPr="007A7444">
        <w:rPr>
          <w:rFonts w:ascii="Arial" w:hAnsi="Arial" w:cs="Arial"/>
          <w:color w:val="000000"/>
          <w:sz w:val="22"/>
          <w:szCs w:val="22"/>
        </w:rPr>
        <w:t>,</w:t>
      </w:r>
      <w:r w:rsidR="003400C7" w:rsidRPr="007A7444">
        <w:rPr>
          <w:rFonts w:ascii="Arial" w:hAnsi="Arial" w:cs="Arial"/>
          <w:color w:val="000000"/>
          <w:sz w:val="22"/>
          <w:szCs w:val="22"/>
        </w:rPr>
        <w:t xml:space="preserve"> an 8” disposal would extend 4” in front of center leaving exactly 8” that is </w:t>
      </w:r>
      <w:r w:rsidR="0084286D" w:rsidRPr="007A7444">
        <w:rPr>
          <w:rFonts w:ascii="Arial" w:hAnsi="Arial" w:cs="Arial"/>
          <w:color w:val="000000"/>
          <w:sz w:val="22"/>
          <w:szCs w:val="22"/>
        </w:rPr>
        <w:t xml:space="preserve">the </w:t>
      </w:r>
      <w:r w:rsidR="003400C7" w:rsidRPr="007A7444">
        <w:rPr>
          <w:rFonts w:ascii="Arial" w:hAnsi="Arial" w:cs="Arial"/>
          <w:color w:val="000000"/>
          <w:sz w:val="22"/>
          <w:szCs w:val="22"/>
        </w:rPr>
        <w:t xml:space="preserve">required </w:t>
      </w:r>
      <w:r w:rsidR="0084286D" w:rsidRPr="007A7444">
        <w:rPr>
          <w:rFonts w:ascii="Arial" w:hAnsi="Arial" w:cs="Arial"/>
          <w:color w:val="000000"/>
          <w:sz w:val="22"/>
          <w:szCs w:val="22"/>
        </w:rPr>
        <w:t xml:space="preserve">amount </w:t>
      </w:r>
      <w:r w:rsidR="003400C7" w:rsidRPr="007A7444">
        <w:rPr>
          <w:rFonts w:ascii="Arial" w:hAnsi="Arial" w:cs="Arial"/>
          <w:color w:val="000000"/>
          <w:sz w:val="22"/>
          <w:szCs w:val="22"/>
        </w:rPr>
        <w:t xml:space="preserve">for the knee space. The </w:t>
      </w:r>
      <w:r w:rsidR="00164F78" w:rsidRPr="007A7444">
        <w:rPr>
          <w:rFonts w:ascii="Arial" w:hAnsi="Arial" w:cs="Arial"/>
          <w:color w:val="000000"/>
          <w:sz w:val="22"/>
          <w:szCs w:val="22"/>
        </w:rPr>
        <w:t xml:space="preserve">average disposal is between 12” and 14” in depth. At an average of 13”, the disposal would have to taper to a maximum width of 2” to 4” at its base in order to maintain compliance. This is </w:t>
      </w:r>
      <w:r w:rsidR="0084286D" w:rsidRPr="007A7444">
        <w:rPr>
          <w:rFonts w:ascii="Arial" w:hAnsi="Arial" w:cs="Arial"/>
          <w:color w:val="000000"/>
          <w:sz w:val="22"/>
          <w:szCs w:val="22"/>
        </w:rPr>
        <w:t>an unrealistic</w:t>
      </w:r>
      <w:r w:rsidR="00164F78" w:rsidRPr="007A7444">
        <w:rPr>
          <w:rFonts w:ascii="Arial" w:hAnsi="Arial" w:cs="Arial"/>
          <w:color w:val="000000"/>
          <w:sz w:val="22"/>
          <w:szCs w:val="22"/>
        </w:rPr>
        <w:t xml:space="preserve"> </w:t>
      </w:r>
      <w:r w:rsidR="0084286D" w:rsidRPr="007A7444">
        <w:rPr>
          <w:rFonts w:ascii="Arial" w:hAnsi="Arial" w:cs="Arial"/>
          <w:color w:val="000000"/>
          <w:sz w:val="22"/>
          <w:szCs w:val="22"/>
        </w:rPr>
        <w:t>dimension;</w:t>
      </w:r>
      <w:r w:rsidR="002F43C5" w:rsidRPr="007A7444">
        <w:rPr>
          <w:rFonts w:ascii="Arial" w:hAnsi="Arial" w:cs="Arial"/>
          <w:color w:val="000000"/>
          <w:sz w:val="22"/>
          <w:szCs w:val="22"/>
        </w:rPr>
        <w:t xml:space="preserve"> therefore </w:t>
      </w:r>
      <w:r w:rsidR="00164F78" w:rsidRPr="007A7444">
        <w:rPr>
          <w:rFonts w:ascii="Arial" w:hAnsi="Arial" w:cs="Arial"/>
          <w:color w:val="000000"/>
          <w:sz w:val="22"/>
          <w:szCs w:val="22"/>
        </w:rPr>
        <w:t>i</w:t>
      </w:r>
      <w:r w:rsidR="00F66A7A" w:rsidRPr="007A7444">
        <w:rPr>
          <w:rFonts w:ascii="Arial" w:hAnsi="Arial" w:cs="Arial"/>
          <w:color w:val="000000"/>
          <w:sz w:val="22"/>
          <w:szCs w:val="22"/>
        </w:rPr>
        <w:t xml:space="preserve">t </w:t>
      </w:r>
      <w:r w:rsidR="002F43C5" w:rsidRPr="007A7444">
        <w:rPr>
          <w:rFonts w:ascii="Arial" w:hAnsi="Arial" w:cs="Arial"/>
          <w:color w:val="000000"/>
          <w:sz w:val="22"/>
          <w:szCs w:val="22"/>
        </w:rPr>
        <w:t xml:space="preserve">would </w:t>
      </w:r>
      <w:r w:rsidR="00F66A7A" w:rsidRPr="007A7444">
        <w:rPr>
          <w:rFonts w:ascii="Arial" w:hAnsi="Arial" w:cs="Arial"/>
          <w:color w:val="000000"/>
          <w:sz w:val="22"/>
          <w:szCs w:val="22"/>
        </w:rPr>
        <w:t>appear</w:t>
      </w:r>
      <w:r w:rsidR="002F43C5" w:rsidRPr="007A7444">
        <w:rPr>
          <w:rFonts w:ascii="Arial" w:hAnsi="Arial" w:cs="Arial"/>
          <w:color w:val="000000"/>
          <w:sz w:val="22"/>
          <w:szCs w:val="22"/>
        </w:rPr>
        <w:t xml:space="preserve"> </w:t>
      </w:r>
      <w:r w:rsidR="00164F78" w:rsidRPr="007A7444">
        <w:rPr>
          <w:rFonts w:ascii="Arial" w:hAnsi="Arial" w:cs="Arial"/>
          <w:color w:val="000000"/>
          <w:sz w:val="22"/>
          <w:szCs w:val="22"/>
        </w:rPr>
        <w:t xml:space="preserve">mandatory that a rear drain sink be installed if a garbage disposal is to be included. </w:t>
      </w:r>
      <w:r w:rsidR="00164F78" w:rsidRPr="007A7444">
        <w:rPr>
          <w:rFonts w:ascii="Arial" w:hAnsi="Arial" w:cs="Arial"/>
          <w:color w:val="000000"/>
          <w:sz w:val="22"/>
          <w:szCs w:val="22"/>
          <w:u w:val="single"/>
        </w:rPr>
        <w:t>Unless the designer can provide proof th</w:t>
      </w:r>
      <w:r w:rsidR="0084286D" w:rsidRPr="007A7444">
        <w:rPr>
          <w:rFonts w:ascii="Arial" w:hAnsi="Arial" w:cs="Arial"/>
          <w:color w:val="000000"/>
          <w:sz w:val="22"/>
          <w:szCs w:val="22"/>
          <w:u w:val="single"/>
        </w:rPr>
        <w:t xml:space="preserve">at the </w:t>
      </w:r>
      <w:r w:rsidR="00164F78" w:rsidRPr="007A7444">
        <w:rPr>
          <w:rFonts w:ascii="Arial" w:hAnsi="Arial" w:cs="Arial"/>
          <w:color w:val="000000"/>
          <w:sz w:val="22"/>
          <w:szCs w:val="22"/>
          <w:u w:val="single"/>
        </w:rPr>
        <w:t>required knee and toe space will be maintaine</w:t>
      </w:r>
      <w:r w:rsidR="005035CC" w:rsidRPr="007A7444">
        <w:rPr>
          <w:rFonts w:ascii="Arial" w:hAnsi="Arial" w:cs="Arial"/>
          <w:color w:val="000000"/>
          <w:sz w:val="22"/>
          <w:szCs w:val="22"/>
          <w:u w:val="single"/>
        </w:rPr>
        <w:t>d at time of installation, the D</w:t>
      </w:r>
      <w:r w:rsidR="00164F78" w:rsidRPr="007A7444">
        <w:rPr>
          <w:rFonts w:ascii="Arial" w:hAnsi="Arial" w:cs="Arial"/>
          <w:color w:val="000000"/>
          <w:sz w:val="22"/>
          <w:szCs w:val="22"/>
          <w:u w:val="single"/>
        </w:rPr>
        <w:t>epartment will require rear drain sinks on all kitchens equipped with garbage disposals.</w:t>
      </w:r>
    </w:p>
    <w:p w14:paraId="7A1435FF" w14:textId="77777777" w:rsidR="009643E0" w:rsidRDefault="009643E0" w:rsidP="009643E0">
      <w:pPr>
        <w:pStyle w:val="ListParagraph"/>
        <w:tabs>
          <w:tab w:val="left" w:pos="1980"/>
        </w:tabs>
        <w:ind w:left="360" w:right="43"/>
        <w:rPr>
          <w:rFonts w:ascii="Arial" w:hAnsi="Arial" w:cs="Arial"/>
          <w:color w:val="000000"/>
          <w:sz w:val="22"/>
          <w:szCs w:val="22"/>
          <w:u w:val="single"/>
        </w:rPr>
      </w:pPr>
    </w:p>
    <w:p w14:paraId="176F17FF" w14:textId="77777777" w:rsidR="009643E0" w:rsidRPr="009643E0" w:rsidRDefault="0084286D" w:rsidP="009643E0">
      <w:pPr>
        <w:pStyle w:val="ListParagraph"/>
        <w:numPr>
          <w:ilvl w:val="0"/>
          <w:numId w:val="24"/>
        </w:numPr>
        <w:tabs>
          <w:tab w:val="left" w:pos="1980"/>
        </w:tabs>
        <w:ind w:right="43"/>
        <w:rPr>
          <w:rFonts w:ascii="Arial" w:hAnsi="Arial" w:cs="Arial"/>
          <w:color w:val="000000"/>
          <w:sz w:val="22"/>
          <w:szCs w:val="22"/>
          <w:u w:val="single"/>
        </w:rPr>
      </w:pPr>
      <w:r w:rsidRPr="009643E0">
        <w:rPr>
          <w:rFonts w:ascii="Arial" w:hAnsi="Arial" w:cs="Arial"/>
          <w:b/>
          <w:color w:val="000000"/>
          <w:sz w:val="22"/>
          <w:szCs w:val="22"/>
          <w:u w:val="single"/>
        </w:rPr>
        <w:t>Bathroom Showers / Shower Enclosures</w:t>
      </w:r>
      <w:r w:rsidRPr="009643E0">
        <w:rPr>
          <w:rFonts w:ascii="Arial" w:hAnsi="Arial" w:cs="Arial"/>
          <w:color w:val="000000"/>
          <w:sz w:val="22"/>
          <w:szCs w:val="22"/>
        </w:rPr>
        <w:t>: In the 2010 edition of the Califor</w:t>
      </w:r>
      <w:r w:rsidR="005035CC" w:rsidRPr="009643E0">
        <w:rPr>
          <w:rFonts w:ascii="Arial" w:hAnsi="Arial" w:cs="Arial"/>
          <w:color w:val="000000"/>
          <w:sz w:val="22"/>
          <w:szCs w:val="22"/>
        </w:rPr>
        <w:t>nia Building Code, HCD rewrote S</w:t>
      </w:r>
      <w:r w:rsidRPr="009643E0">
        <w:rPr>
          <w:rFonts w:ascii="Arial" w:hAnsi="Arial" w:cs="Arial"/>
          <w:color w:val="000000"/>
          <w:sz w:val="22"/>
          <w:szCs w:val="22"/>
        </w:rPr>
        <w:t>ection 1134A.2 Number of complying bathrooms in order to clarify a number of points. One of these clari</w:t>
      </w:r>
      <w:r w:rsidR="00F66A7A" w:rsidRPr="009643E0">
        <w:rPr>
          <w:rFonts w:ascii="Arial" w:hAnsi="Arial" w:cs="Arial"/>
          <w:color w:val="000000"/>
          <w:sz w:val="22"/>
          <w:szCs w:val="22"/>
        </w:rPr>
        <w:t>fications was the requirement that</w:t>
      </w:r>
      <w:r w:rsidRPr="009643E0">
        <w:rPr>
          <w:rFonts w:ascii="Arial" w:hAnsi="Arial" w:cs="Arial"/>
          <w:color w:val="000000"/>
          <w:sz w:val="22"/>
          <w:szCs w:val="22"/>
        </w:rPr>
        <w:t xml:space="preserve"> if a covered dwelling contains a shower stall, at least one shower stall must comply with </w:t>
      </w:r>
      <w:r w:rsidR="005035CC" w:rsidRPr="009643E0">
        <w:rPr>
          <w:rFonts w:ascii="Arial" w:hAnsi="Arial" w:cs="Arial"/>
          <w:color w:val="000000"/>
          <w:sz w:val="22"/>
          <w:szCs w:val="22"/>
        </w:rPr>
        <w:t>Section 1134A.6. This is specified in O</w:t>
      </w:r>
      <w:r w:rsidRPr="009643E0">
        <w:rPr>
          <w:rFonts w:ascii="Arial" w:hAnsi="Arial" w:cs="Arial"/>
          <w:color w:val="000000"/>
          <w:sz w:val="22"/>
          <w:szCs w:val="22"/>
        </w:rPr>
        <w:t xml:space="preserve">ption </w:t>
      </w:r>
      <w:r w:rsidR="007E42AE" w:rsidRPr="009643E0">
        <w:rPr>
          <w:rFonts w:ascii="Arial" w:hAnsi="Arial" w:cs="Arial"/>
          <w:color w:val="000000"/>
          <w:sz w:val="22"/>
          <w:szCs w:val="22"/>
        </w:rPr>
        <w:t>#</w:t>
      </w:r>
      <w:r w:rsidRPr="009643E0">
        <w:rPr>
          <w:rFonts w:ascii="Arial" w:hAnsi="Arial" w:cs="Arial"/>
          <w:color w:val="000000"/>
          <w:sz w:val="22"/>
          <w:szCs w:val="22"/>
        </w:rPr>
        <w:t>2</w:t>
      </w:r>
      <w:r w:rsidR="005035CC" w:rsidRPr="009643E0">
        <w:rPr>
          <w:rFonts w:ascii="Arial" w:hAnsi="Arial" w:cs="Arial"/>
          <w:color w:val="000000"/>
          <w:sz w:val="22"/>
          <w:szCs w:val="22"/>
        </w:rPr>
        <w:t>,</w:t>
      </w:r>
      <w:r w:rsidRPr="009643E0">
        <w:rPr>
          <w:rFonts w:ascii="Arial" w:hAnsi="Arial" w:cs="Arial"/>
          <w:color w:val="000000"/>
          <w:sz w:val="22"/>
          <w:szCs w:val="22"/>
        </w:rPr>
        <w:t xml:space="preserve"> </w:t>
      </w:r>
      <w:r w:rsidR="005035CC" w:rsidRPr="009643E0">
        <w:rPr>
          <w:rFonts w:ascii="Arial" w:hAnsi="Arial" w:cs="Arial"/>
          <w:color w:val="000000"/>
          <w:sz w:val="22"/>
          <w:szCs w:val="22"/>
        </w:rPr>
        <w:t xml:space="preserve">Item </w:t>
      </w:r>
      <w:r w:rsidR="00B034DB" w:rsidRPr="009643E0">
        <w:rPr>
          <w:rFonts w:ascii="Arial" w:hAnsi="Arial" w:cs="Arial"/>
          <w:color w:val="000000"/>
          <w:sz w:val="22"/>
          <w:szCs w:val="22"/>
        </w:rPr>
        <w:t xml:space="preserve">#6 of </w:t>
      </w:r>
      <w:r w:rsidR="005035CC" w:rsidRPr="009643E0">
        <w:rPr>
          <w:rFonts w:ascii="Arial" w:hAnsi="Arial" w:cs="Arial"/>
          <w:color w:val="000000"/>
          <w:sz w:val="22"/>
          <w:szCs w:val="22"/>
        </w:rPr>
        <w:t xml:space="preserve">Section </w:t>
      </w:r>
      <w:r w:rsidR="00B034DB" w:rsidRPr="009643E0">
        <w:rPr>
          <w:rFonts w:ascii="Arial" w:hAnsi="Arial" w:cs="Arial"/>
          <w:color w:val="000000"/>
          <w:sz w:val="22"/>
          <w:szCs w:val="22"/>
        </w:rPr>
        <w:t>1134A.6 which states that if a bath</w:t>
      </w:r>
      <w:r w:rsidR="005035CC" w:rsidRPr="009643E0">
        <w:rPr>
          <w:rFonts w:ascii="Arial" w:hAnsi="Arial" w:cs="Arial"/>
          <w:color w:val="000000"/>
          <w:sz w:val="22"/>
          <w:szCs w:val="22"/>
        </w:rPr>
        <w:t>tub is selected to comply with O</w:t>
      </w:r>
      <w:r w:rsidR="00B034DB" w:rsidRPr="009643E0">
        <w:rPr>
          <w:rFonts w:ascii="Arial" w:hAnsi="Arial" w:cs="Arial"/>
          <w:color w:val="000000"/>
          <w:sz w:val="22"/>
          <w:szCs w:val="22"/>
        </w:rPr>
        <w:t>ption #2</w:t>
      </w:r>
      <w:r w:rsidR="005035CC" w:rsidRPr="009643E0">
        <w:rPr>
          <w:rFonts w:ascii="Arial" w:hAnsi="Arial" w:cs="Arial"/>
          <w:color w:val="000000"/>
          <w:sz w:val="22"/>
          <w:szCs w:val="22"/>
        </w:rPr>
        <w:t>, I</w:t>
      </w:r>
      <w:r w:rsidR="00B034DB" w:rsidRPr="009643E0">
        <w:rPr>
          <w:rFonts w:ascii="Arial" w:hAnsi="Arial" w:cs="Arial"/>
          <w:color w:val="000000"/>
          <w:sz w:val="22"/>
          <w:szCs w:val="22"/>
        </w:rPr>
        <w:t>tem #6 (and there is a shower stall in the dwelling unit) “</w:t>
      </w:r>
      <w:r w:rsidR="005035CC" w:rsidRPr="009643E0">
        <w:rPr>
          <w:rFonts w:ascii="Arial" w:hAnsi="Arial" w:cs="Arial"/>
          <w:color w:val="000000"/>
          <w:sz w:val="22"/>
          <w:szCs w:val="22"/>
        </w:rPr>
        <w:t>…</w:t>
      </w:r>
      <w:r w:rsidR="00B034DB" w:rsidRPr="009643E0">
        <w:rPr>
          <w:rFonts w:ascii="Arial" w:hAnsi="Arial" w:cs="Arial"/>
          <w:color w:val="000000"/>
          <w:sz w:val="22"/>
          <w:szCs w:val="22"/>
        </w:rPr>
        <w:t>at least one shower stall within the dwelling unit shall meet all the applicable accessibility requirements…”</w:t>
      </w:r>
      <w:r w:rsidR="007E42AE" w:rsidRPr="009643E0">
        <w:rPr>
          <w:rFonts w:ascii="Arial" w:hAnsi="Arial" w:cs="Arial"/>
          <w:color w:val="000000"/>
          <w:sz w:val="22"/>
          <w:szCs w:val="22"/>
        </w:rPr>
        <w:t>.</w:t>
      </w:r>
      <w:r w:rsidR="00B034DB" w:rsidRPr="009643E0">
        <w:rPr>
          <w:rFonts w:ascii="Arial" w:hAnsi="Arial" w:cs="Arial"/>
          <w:color w:val="000000"/>
          <w:sz w:val="22"/>
          <w:szCs w:val="22"/>
        </w:rPr>
        <w:t xml:space="preserve"> </w:t>
      </w:r>
      <w:r w:rsidR="005035CC" w:rsidRPr="009643E0">
        <w:rPr>
          <w:rFonts w:ascii="Arial" w:hAnsi="Arial" w:cs="Arial"/>
          <w:color w:val="000000"/>
          <w:sz w:val="22"/>
          <w:szCs w:val="22"/>
        </w:rPr>
        <w:t xml:space="preserve"> This is again restated in S</w:t>
      </w:r>
      <w:r w:rsidR="00B034DB" w:rsidRPr="009643E0">
        <w:rPr>
          <w:rFonts w:ascii="Arial" w:hAnsi="Arial" w:cs="Arial"/>
          <w:color w:val="000000"/>
          <w:sz w:val="22"/>
          <w:szCs w:val="22"/>
        </w:rPr>
        <w:t xml:space="preserve">ection 1134A.6 “When one or more shower stalls are provided within the same dwelling unit, at least one of </w:t>
      </w:r>
      <w:r w:rsidR="00B034DB" w:rsidRPr="009643E0">
        <w:rPr>
          <w:rFonts w:ascii="Arial" w:hAnsi="Arial" w:cs="Arial"/>
          <w:color w:val="000000"/>
          <w:sz w:val="22"/>
          <w:szCs w:val="22"/>
        </w:rPr>
        <w:lastRenderedPageBreak/>
        <w:t>the shower stalls shall comply with one of the following requirements” (followed by the three options for accessible shower stalls).  In conversations with HCD, it was made clear that this requirement would also apply</w:t>
      </w:r>
      <w:r w:rsidR="005035CC" w:rsidRPr="009643E0">
        <w:rPr>
          <w:rFonts w:ascii="Arial" w:hAnsi="Arial" w:cs="Arial"/>
          <w:color w:val="000000"/>
          <w:sz w:val="22"/>
          <w:szCs w:val="22"/>
        </w:rPr>
        <w:t>,</w:t>
      </w:r>
      <w:r w:rsidR="00B034DB" w:rsidRPr="009643E0">
        <w:rPr>
          <w:rFonts w:ascii="Arial" w:hAnsi="Arial" w:cs="Arial"/>
          <w:color w:val="000000"/>
          <w:sz w:val="22"/>
          <w:szCs w:val="22"/>
        </w:rPr>
        <w:t xml:space="preserve"> even if there is only one bathroom and it contains a shower stall and a tub. You would not be required to make both the shower and the tub accessible if there is only one bathroom, bu</w:t>
      </w:r>
      <w:r w:rsidR="008D5775" w:rsidRPr="009643E0">
        <w:rPr>
          <w:rFonts w:ascii="Arial" w:hAnsi="Arial" w:cs="Arial"/>
          <w:color w:val="000000"/>
          <w:sz w:val="22"/>
          <w:szCs w:val="22"/>
        </w:rPr>
        <w:t>t the shower stall must comply; the</w:t>
      </w:r>
      <w:r w:rsidR="00F55651" w:rsidRPr="009643E0">
        <w:rPr>
          <w:rFonts w:ascii="Arial" w:hAnsi="Arial" w:cs="Arial"/>
          <w:color w:val="000000"/>
          <w:sz w:val="22"/>
          <w:szCs w:val="22"/>
        </w:rPr>
        <w:t xml:space="preserve"> tub is optional if you choose O</w:t>
      </w:r>
      <w:r w:rsidR="008D5775" w:rsidRPr="009643E0">
        <w:rPr>
          <w:rFonts w:ascii="Arial" w:hAnsi="Arial" w:cs="Arial"/>
          <w:color w:val="000000"/>
          <w:sz w:val="22"/>
          <w:szCs w:val="22"/>
        </w:rPr>
        <w:t xml:space="preserve">ption </w:t>
      </w:r>
      <w:r w:rsidR="007E42AE" w:rsidRPr="009643E0">
        <w:rPr>
          <w:rFonts w:ascii="Arial" w:hAnsi="Arial" w:cs="Arial"/>
          <w:color w:val="000000"/>
          <w:sz w:val="22"/>
          <w:szCs w:val="22"/>
        </w:rPr>
        <w:t>#</w:t>
      </w:r>
      <w:r w:rsidR="008D5775" w:rsidRPr="009643E0">
        <w:rPr>
          <w:rFonts w:ascii="Arial" w:hAnsi="Arial" w:cs="Arial"/>
          <w:color w:val="000000"/>
          <w:sz w:val="22"/>
          <w:szCs w:val="22"/>
        </w:rPr>
        <w:t>2. It should be noted that there is no requirement to provide a shower stall within a dwelling uni</w:t>
      </w:r>
      <w:r w:rsidR="00F55651" w:rsidRPr="009643E0">
        <w:rPr>
          <w:rFonts w:ascii="Arial" w:hAnsi="Arial" w:cs="Arial"/>
          <w:color w:val="000000"/>
          <w:sz w:val="22"/>
          <w:szCs w:val="22"/>
        </w:rPr>
        <w:t>t, but if the</w:t>
      </w:r>
      <w:r w:rsidR="008D5775" w:rsidRPr="009643E0">
        <w:rPr>
          <w:rFonts w:ascii="Arial" w:hAnsi="Arial" w:cs="Arial"/>
          <w:color w:val="000000"/>
          <w:sz w:val="22"/>
          <w:szCs w:val="22"/>
        </w:rPr>
        <w:t>y are provided, at least one shall comply.</w:t>
      </w:r>
    </w:p>
    <w:p w14:paraId="22E9E862" w14:textId="77777777" w:rsidR="009643E0" w:rsidRDefault="009643E0" w:rsidP="009643E0">
      <w:pPr>
        <w:pStyle w:val="ListParagraph"/>
        <w:tabs>
          <w:tab w:val="left" w:pos="1980"/>
        </w:tabs>
        <w:ind w:left="360" w:right="43"/>
        <w:rPr>
          <w:rFonts w:ascii="Arial" w:hAnsi="Arial" w:cs="Arial"/>
          <w:b/>
          <w:color w:val="000000"/>
          <w:sz w:val="22"/>
          <w:szCs w:val="22"/>
          <w:u w:val="single"/>
        </w:rPr>
      </w:pPr>
    </w:p>
    <w:p w14:paraId="41417C3D" w14:textId="77777777" w:rsidR="009643E0" w:rsidRDefault="008D5775" w:rsidP="009643E0">
      <w:pPr>
        <w:pStyle w:val="ListParagraph"/>
        <w:tabs>
          <w:tab w:val="left" w:pos="1980"/>
        </w:tabs>
        <w:ind w:left="360" w:right="43"/>
        <w:rPr>
          <w:rFonts w:ascii="Arial" w:hAnsi="Arial" w:cs="Arial"/>
          <w:color w:val="000000"/>
          <w:sz w:val="22"/>
          <w:szCs w:val="22"/>
        </w:rPr>
      </w:pPr>
      <w:r w:rsidRPr="009643E0">
        <w:rPr>
          <w:rFonts w:ascii="Arial" w:hAnsi="Arial" w:cs="Arial"/>
          <w:color w:val="000000"/>
          <w:sz w:val="22"/>
          <w:szCs w:val="22"/>
        </w:rPr>
        <w:t>The question of show</w:t>
      </w:r>
      <w:r w:rsidR="006B589A" w:rsidRPr="009643E0">
        <w:rPr>
          <w:rFonts w:ascii="Arial" w:hAnsi="Arial" w:cs="Arial"/>
          <w:color w:val="000000"/>
          <w:sz w:val="22"/>
          <w:szCs w:val="22"/>
        </w:rPr>
        <w:t>er doors is often raised</w:t>
      </w:r>
      <w:r w:rsidRPr="009643E0">
        <w:rPr>
          <w:rFonts w:ascii="Arial" w:hAnsi="Arial" w:cs="Arial"/>
          <w:color w:val="000000"/>
          <w:sz w:val="22"/>
          <w:szCs w:val="22"/>
        </w:rPr>
        <w:t>. Shower doors are allowed with some restrictions. Section 1134A.6 #7 specifies that the enclosure must be constructed of “approved sh</w:t>
      </w:r>
      <w:r w:rsidR="00F55651" w:rsidRPr="009643E0">
        <w:rPr>
          <w:rFonts w:ascii="Arial" w:hAnsi="Arial" w:cs="Arial"/>
          <w:color w:val="000000"/>
          <w:sz w:val="22"/>
          <w:szCs w:val="22"/>
        </w:rPr>
        <w:t>atter proof-resistant material</w:t>
      </w:r>
      <w:r w:rsidR="007E42AE" w:rsidRPr="009643E0">
        <w:rPr>
          <w:rFonts w:ascii="Arial" w:hAnsi="Arial" w:cs="Arial"/>
          <w:color w:val="000000"/>
          <w:sz w:val="22"/>
          <w:szCs w:val="22"/>
        </w:rPr>
        <w:t>,</w:t>
      </w:r>
      <w:r w:rsidR="00F55651" w:rsidRPr="009643E0">
        <w:rPr>
          <w:rFonts w:ascii="Arial" w:hAnsi="Arial" w:cs="Arial"/>
          <w:color w:val="000000"/>
          <w:sz w:val="22"/>
          <w:szCs w:val="22"/>
        </w:rPr>
        <w:t>”</w:t>
      </w:r>
      <w:r w:rsidRPr="009643E0">
        <w:rPr>
          <w:rFonts w:ascii="Arial" w:hAnsi="Arial" w:cs="Arial"/>
          <w:color w:val="000000"/>
          <w:sz w:val="22"/>
          <w:szCs w:val="22"/>
        </w:rPr>
        <w:t xml:space="preserve"> glazing shall be tempered or laminated safety glass complying with Chapter 24, or approved plastic. Hinged doors shall swing outward. </w:t>
      </w:r>
      <w:r w:rsidR="00407CCA" w:rsidRPr="009643E0">
        <w:rPr>
          <w:rFonts w:ascii="Arial" w:hAnsi="Arial" w:cs="Arial"/>
          <w:color w:val="000000"/>
          <w:sz w:val="22"/>
          <w:szCs w:val="22"/>
        </w:rPr>
        <w:t xml:space="preserve"> A shower door that is surface mounted and attached with screws to the walls may be installed on any of the </w:t>
      </w:r>
      <w:r w:rsidR="006B589A" w:rsidRPr="009643E0">
        <w:rPr>
          <w:rFonts w:ascii="Arial" w:hAnsi="Arial" w:cs="Arial"/>
          <w:color w:val="000000"/>
          <w:sz w:val="22"/>
          <w:szCs w:val="22"/>
        </w:rPr>
        <w:t xml:space="preserve">three </w:t>
      </w:r>
      <w:r w:rsidR="00407CCA" w:rsidRPr="009643E0">
        <w:rPr>
          <w:rFonts w:ascii="Arial" w:hAnsi="Arial" w:cs="Arial"/>
          <w:color w:val="000000"/>
          <w:sz w:val="22"/>
          <w:szCs w:val="22"/>
        </w:rPr>
        <w:t xml:space="preserve">shower options as it is </w:t>
      </w:r>
      <w:r w:rsidR="006B589A" w:rsidRPr="009643E0">
        <w:rPr>
          <w:rFonts w:ascii="Arial" w:hAnsi="Arial" w:cs="Arial"/>
          <w:color w:val="000000"/>
          <w:sz w:val="22"/>
          <w:szCs w:val="22"/>
        </w:rPr>
        <w:t xml:space="preserve">easily removed and thus </w:t>
      </w:r>
      <w:r w:rsidR="00407CCA" w:rsidRPr="009643E0">
        <w:rPr>
          <w:rFonts w:ascii="Arial" w:hAnsi="Arial" w:cs="Arial"/>
          <w:color w:val="000000"/>
          <w:sz w:val="22"/>
          <w:szCs w:val="22"/>
        </w:rPr>
        <w:t xml:space="preserve">readily adaptable without special tools or knowledge. </w:t>
      </w:r>
    </w:p>
    <w:p w14:paraId="51049908" w14:textId="77777777" w:rsidR="009643E0" w:rsidRDefault="009643E0" w:rsidP="009643E0">
      <w:pPr>
        <w:pStyle w:val="ListParagraph"/>
        <w:tabs>
          <w:tab w:val="left" w:pos="1980"/>
        </w:tabs>
        <w:ind w:left="360" w:right="43"/>
        <w:rPr>
          <w:rFonts w:ascii="Arial" w:hAnsi="Arial" w:cs="Arial"/>
          <w:color w:val="000000"/>
          <w:sz w:val="22"/>
          <w:szCs w:val="22"/>
        </w:rPr>
      </w:pPr>
    </w:p>
    <w:p w14:paraId="3FBA855C" w14:textId="08481970" w:rsidR="00F55651" w:rsidRPr="009643E0" w:rsidRDefault="00407CCA" w:rsidP="009643E0">
      <w:pPr>
        <w:pStyle w:val="ListParagraph"/>
        <w:tabs>
          <w:tab w:val="left" w:pos="1980"/>
        </w:tabs>
        <w:ind w:left="360" w:right="43"/>
        <w:rPr>
          <w:rFonts w:ascii="Arial" w:hAnsi="Arial" w:cs="Arial"/>
          <w:color w:val="000000"/>
          <w:sz w:val="22"/>
          <w:szCs w:val="22"/>
          <w:u w:val="single"/>
        </w:rPr>
      </w:pPr>
      <w:r w:rsidRPr="009643E0">
        <w:rPr>
          <w:rFonts w:ascii="Arial" w:hAnsi="Arial" w:cs="Arial"/>
          <w:color w:val="000000"/>
          <w:sz w:val="22"/>
          <w:szCs w:val="22"/>
        </w:rPr>
        <w:t>A shower door that</w:t>
      </w:r>
      <w:r w:rsidR="006B589A" w:rsidRPr="009643E0">
        <w:rPr>
          <w:rFonts w:ascii="Arial" w:hAnsi="Arial" w:cs="Arial"/>
          <w:color w:val="000000"/>
          <w:sz w:val="22"/>
          <w:szCs w:val="22"/>
        </w:rPr>
        <w:t xml:space="preserve"> is recessed into the tile work</w:t>
      </w:r>
      <w:r w:rsidRPr="009643E0">
        <w:rPr>
          <w:rFonts w:ascii="Arial" w:hAnsi="Arial" w:cs="Arial"/>
          <w:color w:val="000000"/>
          <w:sz w:val="22"/>
          <w:szCs w:val="22"/>
        </w:rPr>
        <w:t xml:space="preserve"> or which would require a trained craftsman to remove may be installed </w:t>
      </w:r>
      <w:r w:rsidR="006B589A" w:rsidRPr="009643E0">
        <w:rPr>
          <w:rFonts w:ascii="Arial" w:hAnsi="Arial" w:cs="Arial"/>
          <w:color w:val="000000"/>
          <w:sz w:val="22"/>
          <w:szCs w:val="22"/>
        </w:rPr>
        <w:t xml:space="preserve">only </w:t>
      </w:r>
      <w:r w:rsidR="00F55651" w:rsidRPr="009643E0">
        <w:rPr>
          <w:rFonts w:ascii="Arial" w:hAnsi="Arial" w:cs="Arial"/>
          <w:color w:val="000000"/>
          <w:sz w:val="22"/>
          <w:szCs w:val="22"/>
        </w:rPr>
        <w:t>on O</w:t>
      </w:r>
      <w:r w:rsidRPr="009643E0">
        <w:rPr>
          <w:rFonts w:ascii="Arial" w:hAnsi="Arial" w:cs="Arial"/>
          <w:color w:val="000000"/>
          <w:sz w:val="22"/>
          <w:szCs w:val="22"/>
        </w:rPr>
        <w:t xml:space="preserve">ption </w:t>
      </w:r>
      <w:r w:rsidR="007E42AE" w:rsidRPr="009643E0">
        <w:rPr>
          <w:rFonts w:ascii="Arial" w:hAnsi="Arial" w:cs="Arial"/>
          <w:color w:val="000000"/>
          <w:sz w:val="22"/>
          <w:szCs w:val="22"/>
        </w:rPr>
        <w:t>#</w:t>
      </w:r>
      <w:r w:rsidRPr="009643E0">
        <w:rPr>
          <w:rFonts w:ascii="Arial" w:hAnsi="Arial" w:cs="Arial"/>
          <w:color w:val="000000"/>
          <w:sz w:val="22"/>
          <w:szCs w:val="22"/>
        </w:rPr>
        <w:t xml:space="preserve">1.1 and </w:t>
      </w:r>
      <w:r w:rsidR="00F55651" w:rsidRPr="009643E0">
        <w:rPr>
          <w:rFonts w:ascii="Arial" w:hAnsi="Arial" w:cs="Arial"/>
          <w:color w:val="000000"/>
          <w:sz w:val="22"/>
          <w:szCs w:val="22"/>
        </w:rPr>
        <w:t xml:space="preserve">Option </w:t>
      </w:r>
      <w:r w:rsidR="007E42AE" w:rsidRPr="009643E0">
        <w:rPr>
          <w:rFonts w:ascii="Arial" w:hAnsi="Arial" w:cs="Arial"/>
          <w:color w:val="000000"/>
          <w:sz w:val="22"/>
          <w:szCs w:val="22"/>
        </w:rPr>
        <w:t>#</w:t>
      </w:r>
      <w:r w:rsidRPr="009643E0">
        <w:rPr>
          <w:rFonts w:ascii="Arial" w:hAnsi="Arial" w:cs="Arial"/>
          <w:color w:val="000000"/>
          <w:sz w:val="22"/>
          <w:szCs w:val="22"/>
        </w:rPr>
        <w:t>1.3 type showers if t</w:t>
      </w:r>
      <w:r w:rsidR="00F55651" w:rsidRPr="009643E0">
        <w:rPr>
          <w:rFonts w:ascii="Arial" w:hAnsi="Arial" w:cs="Arial"/>
          <w:color w:val="000000"/>
          <w:sz w:val="22"/>
          <w:szCs w:val="22"/>
        </w:rPr>
        <w:t xml:space="preserve">he following conditions are met: </w:t>
      </w:r>
    </w:p>
    <w:p w14:paraId="511DFA91" w14:textId="77777777" w:rsidR="00F55651" w:rsidRDefault="00F55651" w:rsidP="00854F0C">
      <w:pPr>
        <w:pStyle w:val="ListParagraph"/>
        <w:tabs>
          <w:tab w:val="left" w:pos="1980"/>
        </w:tabs>
        <w:ind w:left="1620" w:right="43" w:hanging="1980"/>
        <w:rPr>
          <w:rFonts w:ascii="Arial" w:hAnsi="Arial" w:cs="Arial"/>
          <w:color w:val="000000"/>
          <w:sz w:val="22"/>
          <w:szCs w:val="22"/>
        </w:rPr>
      </w:pPr>
    </w:p>
    <w:p w14:paraId="3BC7B486" w14:textId="77777777" w:rsidR="009643E0" w:rsidRDefault="00407CCA" w:rsidP="009643E0">
      <w:pPr>
        <w:pStyle w:val="ListParagraph"/>
        <w:numPr>
          <w:ilvl w:val="0"/>
          <w:numId w:val="26"/>
        </w:numPr>
        <w:tabs>
          <w:tab w:val="left" w:pos="1980"/>
        </w:tabs>
        <w:ind w:left="1080" w:right="43"/>
        <w:rPr>
          <w:rFonts w:ascii="Arial" w:hAnsi="Arial" w:cs="Arial"/>
          <w:color w:val="000000"/>
          <w:sz w:val="22"/>
          <w:szCs w:val="22"/>
        </w:rPr>
      </w:pPr>
      <w:r w:rsidRPr="009643E0">
        <w:rPr>
          <w:rFonts w:ascii="Arial" w:hAnsi="Arial" w:cs="Arial"/>
          <w:color w:val="000000"/>
          <w:sz w:val="22"/>
          <w:szCs w:val="22"/>
        </w:rPr>
        <w:t xml:space="preserve">The door must provide a clear 36” opening when open 90 degrees, the door must comply with </w:t>
      </w:r>
      <w:r w:rsidR="00F55651" w:rsidRPr="009643E0">
        <w:rPr>
          <w:rFonts w:ascii="Arial" w:hAnsi="Arial" w:cs="Arial"/>
          <w:color w:val="000000"/>
          <w:sz w:val="22"/>
          <w:szCs w:val="22"/>
        </w:rPr>
        <w:t xml:space="preserve">Section </w:t>
      </w:r>
      <w:r w:rsidRPr="009643E0">
        <w:rPr>
          <w:rFonts w:ascii="Arial" w:hAnsi="Arial" w:cs="Arial"/>
          <w:color w:val="000000"/>
          <w:sz w:val="22"/>
          <w:szCs w:val="22"/>
        </w:rPr>
        <w:t xml:space="preserve">1132A.5 with a 39” </w:t>
      </w:r>
      <w:r w:rsidR="006B589A" w:rsidRPr="009643E0">
        <w:rPr>
          <w:rFonts w:ascii="Arial" w:hAnsi="Arial" w:cs="Arial"/>
          <w:color w:val="000000"/>
          <w:sz w:val="22"/>
          <w:szCs w:val="22"/>
        </w:rPr>
        <w:t>clear space at</w:t>
      </w:r>
      <w:r w:rsidR="00F55651" w:rsidRPr="009643E0">
        <w:rPr>
          <w:rFonts w:ascii="Arial" w:hAnsi="Arial" w:cs="Arial"/>
          <w:color w:val="000000"/>
          <w:sz w:val="22"/>
          <w:szCs w:val="22"/>
        </w:rPr>
        <w:t xml:space="preserve"> right angles to the door in it</w:t>
      </w:r>
      <w:r w:rsidR="006B589A" w:rsidRPr="009643E0">
        <w:rPr>
          <w:rFonts w:ascii="Arial" w:hAnsi="Arial" w:cs="Arial"/>
          <w:color w:val="000000"/>
          <w:sz w:val="22"/>
          <w:szCs w:val="22"/>
        </w:rPr>
        <w:t xml:space="preserve">s closed position and provide </w:t>
      </w:r>
      <w:r w:rsidRPr="009643E0">
        <w:rPr>
          <w:rFonts w:ascii="Arial" w:hAnsi="Arial" w:cs="Arial"/>
          <w:color w:val="000000"/>
          <w:sz w:val="22"/>
          <w:szCs w:val="22"/>
        </w:rPr>
        <w:t xml:space="preserve">for </w:t>
      </w:r>
      <w:r w:rsidR="006B589A" w:rsidRPr="009643E0">
        <w:rPr>
          <w:rFonts w:ascii="Arial" w:hAnsi="Arial" w:cs="Arial"/>
          <w:color w:val="000000"/>
          <w:sz w:val="22"/>
          <w:szCs w:val="22"/>
        </w:rPr>
        <w:t xml:space="preserve">an 18” </w:t>
      </w:r>
      <w:r w:rsidRPr="009643E0">
        <w:rPr>
          <w:rFonts w:ascii="Arial" w:hAnsi="Arial" w:cs="Arial"/>
          <w:color w:val="000000"/>
          <w:sz w:val="22"/>
          <w:szCs w:val="22"/>
        </w:rPr>
        <w:t>strike side maneuvering space</w:t>
      </w:r>
      <w:r w:rsidR="006B589A" w:rsidRPr="009643E0">
        <w:rPr>
          <w:rFonts w:ascii="Arial" w:hAnsi="Arial" w:cs="Arial"/>
          <w:color w:val="000000"/>
          <w:sz w:val="22"/>
          <w:szCs w:val="22"/>
        </w:rPr>
        <w:t xml:space="preserve">. </w:t>
      </w:r>
    </w:p>
    <w:p w14:paraId="038EDBD7" w14:textId="77777777" w:rsidR="009643E0" w:rsidRDefault="009643E0" w:rsidP="009643E0">
      <w:pPr>
        <w:pStyle w:val="ListParagraph"/>
        <w:tabs>
          <w:tab w:val="left" w:pos="1980"/>
        </w:tabs>
        <w:ind w:left="1080" w:right="43"/>
        <w:rPr>
          <w:rFonts w:ascii="Arial" w:hAnsi="Arial" w:cs="Arial"/>
          <w:color w:val="000000"/>
          <w:sz w:val="22"/>
          <w:szCs w:val="22"/>
        </w:rPr>
      </w:pPr>
    </w:p>
    <w:p w14:paraId="4F6AD98C" w14:textId="77777777" w:rsidR="009643E0" w:rsidRDefault="006B589A" w:rsidP="009643E0">
      <w:pPr>
        <w:pStyle w:val="ListParagraph"/>
        <w:numPr>
          <w:ilvl w:val="0"/>
          <w:numId w:val="26"/>
        </w:numPr>
        <w:tabs>
          <w:tab w:val="left" w:pos="1980"/>
        </w:tabs>
        <w:ind w:left="1080" w:right="43"/>
        <w:rPr>
          <w:rFonts w:ascii="Arial" w:hAnsi="Arial" w:cs="Arial"/>
          <w:color w:val="000000"/>
          <w:sz w:val="22"/>
          <w:szCs w:val="22"/>
        </w:rPr>
      </w:pPr>
      <w:r w:rsidRPr="009643E0">
        <w:rPr>
          <w:rFonts w:ascii="Arial" w:hAnsi="Arial" w:cs="Arial"/>
          <w:color w:val="000000"/>
          <w:sz w:val="22"/>
          <w:szCs w:val="22"/>
        </w:rPr>
        <w:t xml:space="preserve">The door must have an opening force of 5lbs maximum and be operable with one hand and not require pinching grasping or turning of the wrist. </w:t>
      </w:r>
    </w:p>
    <w:p w14:paraId="21B7F60B" w14:textId="77777777" w:rsidR="009643E0" w:rsidRPr="009643E0" w:rsidRDefault="009643E0" w:rsidP="009643E0">
      <w:pPr>
        <w:pStyle w:val="ListParagraph"/>
        <w:rPr>
          <w:rFonts w:ascii="Arial" w:hAnsi="Arial" w:cs="Arial"/>
          <w:color w:val="000000"/>
          <w:sz w:val="22"/>
          <w:szCs w:val="22"/>
        </w:rPr>
      </w:pPr>
    </w:p>
    <w:p w14:paraId="57C33B4C" w14:textId="5128B516" w:rsidR="008D5775" w:rsidRPr="009643E0" w:rsidRDefault="006B589A" w:rsidP="009643E0">
      <w:pPr>
        <w:pStyle w:val="ListParagraph"/>
        <w:numPr>
          <w:ilvl w:val="0"/>
          <w:numId w:val="26"/>
        </w:numPr>
        <w:tabs>
          <w:tab w:val="left" w:pos="1980"/>
        </w:tabs>
        <w:ind w:left="1080" w:right="43"/>
        <w:rPr>
          <w:rFonts w:ascii="Arial" w:hAnsi="Arial" w:cs="Arial"/>
          <w:color w:val="000000"/>
          <w:sz w:val="22"/>
          <w:szCs w:val="22"/>
        </w:rPr>
      </w:pPr>
      <w:r w:rsidRPr="009643E0">
        <w:rPr>
          <w:rFonts w:ascii="Arial" w:hAnsi="Arial" w:cs="Arial"/>
          <w:color w:val="000000"/>
          <w:sz w:val="22"/>
          <w:szCs w:val="22"/>
        </w:rPr>
        <w:t>Additionally, any shower door that is permanent in nature must not interfere with the use of the required clear floor space for the shower.</w:t>
      </w:r>
    </w:p>
    <w:p w14:paraId="273DF219" w14:textId="77777777" w:rsidR="00F55651" w:rsidRPr="00F55651" w:rsidRDefault="00F55651" w:rsidP="00854F0C">
      <w:pPr>
        <w:pStyle w:val="ListParagraph"/>
        <w:tabs>
          <w:tab w:val="left" w:pos="1980"/>
        </w:tabs>
        <w:ind w:left="1620" w:right="43" w:hanging="1980"/>
        <w:rPr>
          <w:rFonts w:ascii="Arial" w:hAnsi="Arial" w:cs="Arial"/>
          <w:color w:val="000000"/>
          <w:sz w:val="22"/>
          <w:szCs w:val="22"/>
        </w:rPr>
      </w:pPr>
    </w:p>
    <w:p w14:paraId="66989E70" w14:textId="0DF9BD03" w:rsidR="00F55651" w:rsidRPr="009643E0" w:rsidRDefault="006B589A" w:rsidP="009643E0">
      <w:pPr>
        <w:pStyle w:val="ListParagraph"/>
        <w:numPr>
          <w:ilvl w:val="0"/>
          <w:numId w:val="24"/>
        </w:numPr>
        <w:tabs>
          <w:tab w:val="left" w:pos="1980"/>
        </w:tabs>
        <w:ind w:right="43"/>
        <w:rPr>
          <w:rFonts w:ascii="Arial" w:hAnsi="Arial" w:cs="Arial"/>
          <w:color w:val="000000"/>
          <w:sz w:val="22"/>
          <w:szCs w:val="22"/>
        </w:rPr>
      </w:pPr>
      <w:r w:rsidRPr="009643E0">
        <w:rPr>
          <w:rFonts w:ascii="Arial" w:hAnsi="Arial" w:cs="Arial"/>
          <w:b/>
          <w:color w:val="000000"/>
          <w:sz w:val="22"/>
          <w:szCs w:val="22"/>
          <w:u w:val="single"/>
        </w:rPr>
        <w:t>Entry Doors:</w:t>
      </w:r>
      <w:r w:rsidRPr="009643E0">
        <w:rPr>
          <w:rFonts w:ascii="Arial" w:hAnsi="Arial" w:cs="Arial"/>
          <w:color w:val="000000"/>
          <w:sz w:val="22"/>
          <w:szCs w:val="22"/>
        </w:rPr>
        <w:t xml:space="preserve"> The question was raised as to the required height of a viewing port in a front entry door. Although it</w:t>
      </w:r>
      <w:r w:rsidR="002F43C5" w:rsidRPr="009643E0">
        <w:rPr>
          <w:rFonts w:ascii="Arial" w:hAnsi="Arial" w:cs="Arial"/>
          <w:color w:val="000000"/>
          <w:sz w:val="22"/>
          <w:szCs w:val="22"/>
        </w:rPr>
        <w:t xml:space="preserve"> would be courteous to provide </w:t>
      </w:r>
      <w:r w:rsidR="00F75E75" w:rsidRPr="009643E0">
        <w:rPr>
          <w:rFonts w:ascii="Arial" w:hAnsi="Arial" w:cs="Arial"/>
          <w:color w:val="000000"/>
          <w:sz w:val="22"/>
          <w:szCs w:val="22"/>
        </w:rPr>
        <w:t xml:space="preserve">a lower viewing port </w:t>
      </w:r>
      <w:r w:rsidRPr="009643E0">
        <w:rPr>
          <w:rFonts w:ascii="Arial" w:hAnsi="Arial" w:cs="Arial"/>
          <w:color w:val="000000"/>
          <w:sz w:val="22"/>
          <w:szCs w:val="22"/>
        </w:rPr>
        <w:t>at a height that is usa</w:t>
      </w:r>
      <w:r w:rsidR="007A7444" w:rsidRPr="009643E0">
        <w:rPr>
          <w:rFonts w:ascii="Arial" w:hAnsi="Arial" w:cs="Arial"/>
          <w:color w:val="000000"/>
          <w:sz w:val="22"/>
          <w:szCs w:val="22"/>
        </w:rPr>
        <w:t>ble by persons in mobility devic</w:t>
      </w:r>
      <w:r w:rsidRPr="009643E0">
        <w:rPr>
          <w:rFonts w:ascii="Arial" w:hAnsi="Arial" w:cs="Arial"/>
          <w:color w:val="000000"/>
          <w:sz w:val="22"/>
          <w:szCs w:val="22"/>
        </w:rPr>
        <w:t>es</w:t>
      </w:r>
      <w:r w:rsidR="007A7444" w:rsidRPr="009643E0">
        <w:rPr>
          <w:rFonts w:ascii="Arial" w:hAnsi="Arial" w:cs="Arial"/>
          <w:color w:val="000000"/>
          <w:sz w:val="22"/>
          <w:szCs w:val="22"/>
        </w:rPr>
        <w:t>,</w:t>
      </w:r>
      <w:r w:rsidRPr="009643E0">
        <w:rPr>
          <w:rFonts w:ascii="Arial" w:hAnsi="Arial" w:cs="Arial"/>
          <w:color w:val="000000"/>
          <w:sz w:val="22"/>
          <w:szCs w:val="22"/>
        </w:rPr>
        <w:t xml:space="preserve"> t</w:t>
      </w:r>
      <w:r w:rsidR="00F75E75" w:rsidRPr="009643E0">
        <w:rPr>
          <w:rFonts w:ascii="Arial" w:hAnsi="Arial" w:cs="Arial"/>
          <w:color w:val="000000"/>
          <w:sz w:val="22"/>
          <w:szCs w:val="22"/>
        </w:rPr>
        <w:t>here is no requirement</w:t>
      </w:r>
      <w:r w:rsidR="000B00A1" w:rsidRPr="009643E0">
        <w:rPr>
          <w:rFonts w:ascii="Arial" w:hAnsi="Arial" w:cs="Arial"/>
          <w:color w:val="000000"/>
          <w:sz w:val="22"/>
          <w:szCs w:val="22"/>
        </w:rPr>
        <w:t xml:space="preserve"> in Chapter 11A</w:t>
      </w:r>
      <w:r w:rsidR="00F75E75" w:rsidRPr="009643E0">
        <w:rPr>
          <w:rFonts w:ascii="Arial" w:hAnsi="Arial" w:cs="Arial"/>
          <w:color w:val="000000"/>
          <w:sz w:val="22"/>
          <w:szCs w:val="22"/>
        </w:rPr>
        <w:t xml:space="preserve"> for this. Section 1003A.2.2 of the San Francisco Building Code</w:t>
      </w:r>
      <w:r w:rsidR="000B00A1" w:rsidRPr="009643E0">
        <w:rPr>
          <w:rFonts w:ascii="Arial" w:hAnsi="Arial" w:cs="Arial"/>
          <w:color w:val="000000"/>
          <w:sz w:val="22"/>
          <w:szCs w:val="22"/>
        </w:rPr>
        <w:t>, however,</w:t>
      </w:r>
      <w:r w:rsidR="00F75E75" w:rsidRPr="009643E0">
        <w:rPr>
          <w:rFonts w:ascii="Arial" w:hAnsi="Arial" w:cs="Arial"/>
          <w:color w:val="000000"/>
          <w:sz w:val="22"/>
          <w:szCs w:val="22"/>
        </w:rPr>
        <w:t xml:space="preserve"> </w:t>
      </w:r>
      <w:r w:rsidR="000B00A1" w:rsidRPr="009643E0">
        <w:rPr>
          <w:rFonts w:ascii="Arial" w:hAnsi="Arial" w:cs="Arial"/>
          <w:color w:val="000000"/>
          <w:sz w:val="22"/>
          <w:szCs w:val="22"/>
        </w:rPr>
        <w:t xml:space="preserve">does </w:t>
      </w:r>
      <w:r w:rsidR="00F75E75" w:rsidRPr="009643E0">
        <w:rPr>
          <w:rFonts w:ascii="Arial" w:hAnsi="Arial" w:cs="Arial"/>
          <w:color w:val="000000"/>
          <w:sz w:val="22"/>
          <w:szCs w:val="22"/>
        </w:rPr>
        <w:t xml:space="preserve">restrict door viewers to a maximum height of 58 inches. </w:t>
      </w:r>
    </w:p>
    <w:p w14:paraId="7A61D292" w14:textId="77777777" w:rsidR="00F55651" w:rsidRDefault="00F55651" w:rsidP="00854F0C">
      <w:pPr>
        <w:pStyle w:val="ListParagraph"/>
        <w:tabs>
          <w:tab w:val="left" w:pos="1980"/>
        </w:tabs>
        <w:ind w:left="1620" w:right="43" w:hanging="1980"/>
        <w:rPr>
          <w:rFonts w:ascii="Arial" w:hAnsi="Arial" w:cs="Arial"/>
          <w:b/>
          <w:color w:val="000000"/>
          <w:sz w:val="22"/>
          <w:szCs w:val="22"/>
          <w:u w:val="single"/>
        </w:rPr>
      </w:pPr>
    </w:p>
    <w:p w14:paraId="3AB0930B" w14:textId="237EAC68" w:rsidR="000B00A1" w:rsidRDefault="007E42AE" w:rsidP="009643E0">
      <w:pPr>
        <w:tabs>
          <w:tab w:val="left" w:pos="1980"/>
        </w:tabs>
        <w:ind w:left="360"/>
        <w:rPr>
          <w:rFonts w:ascii="Arial" w:hAnsi="Arial" w:cs="Arial"/>
          <w:sz w:val="22"/>
          <w:szCs w:val="22"/>
        </w:rPr>
      </w:pPr>
      <w:r>
        <w:rPr>
          <w:rFonts w:ascii="Arial" w:hAnsi="Arial" w:cs="Arial"/>
          <w:sz w:val="22"/>
          <w:szCs w:val="22"/>
        </w:rPr>
        <w:t>Although C</w:t>
      </w:r>
      <w:r w:rsidR="000B00A1" w:rsidRPr="000B00A1">
        <w:rPr>
          <w:rFonts w:ascii="Arial" w:hAnsi="Arial" w:cs="Arial"/>
          <w:sz w:val="22"/>
          <w:szCs w:val="22"/>
        </w:rPr>
        <w:t xml:space="preserve">hapter 11A has no specific regulations for door viewers, guidance for installation of door </w:t>
      </w:r>
      <w:r>
        <w:rPr>
          <w:rFonts w:ascii="Arial" w:hAnsi="Arial" w:cs="Arial"/>
          <w:sz w:val="22"/>
          <w:szCs w:val="22"/>
        </w:rPr>
        <w:t>viewers may be taken from Chapter 11B. In S</w:t>
      </w:r>
      <w:r w:rsidR="000B00A1" w:rsidRPr="000B00A1">
        <w:rPr>
          <w:rFonts w:ascii="Arial" w:hAnsi="Arial" w:cs="Arial"/>
          <w:sz w:val="22"/>
          <w:szCs w:val="22"/>
        </w:rPr>
        <w:t>ection 11B-809.5.5.2</w:t>
      </w:r>
      <w:r>
        <w:rPr>
          <w:rFonts w:ascii="Arial" w:hAnsi="Arial" w:cs="Arial"/>
          <w:sz w:val="22"/>
          <w:szCs w:val="22"/>
        </w:rPr>
        <w:t>,</w:t>
      </w:r>
      <w:r w:rsidR="000B00A1" w:rsidRPr="000B00A1">
        <w:rPr>
          <w:rFonts w:ascii="Arial" w:hAnsi="Arial" w:cs="Arial"/>
          <w:sz w:val="22"/>
          <w:szCs w:val="22"/>
        </w:rPr>
        <w:t xml:space="preserve"> the code requires a door be equipped with a means of identifying a visitor without opening the door and allow for a 180 degree view. The associated advisory recommends the use of a prism type peep hole as these can be used by all persons, standing and in wheelchairs. This also would eliminate the problem noted by HUD of criminals identifying units occupied by person with disabilities due to the height of the door viewer.</w:t>
      </w:r>
    </w:p>
    <w:p w14:paraId="58FB6297" w14:textId="77777777" w:rsidR="009643E0" w:rsidRPr="000B00A1" w:rsidRDefault="009643E0" w:rsidP="009643E0">
      <w:pPr>
        <w:tabs>
          <w:tab w:val="left" w:pos="1980"/>
        </w:tabs>
        <w:ind w:left="360"/>
        <w:rPr>
          <w:rFonts w:ascii="Arial" w:hAnsi="Arial" w:cs="Arial"/>
          <w:sz w:val="22"/>
          <w:szCs w:val="22"/>
        </w:rPr>
      </w:pPr>
    </w:p>
    <w:p w14:paraId="2305EDE1" w14:textId="77777777" w:rsidR="000B00A1" w:rsidRDefault="000B00A1" w:rsidP="00854F0C">
      <w:pPr>
        <w:tabs>
          <w:tab w:val="left" w:pos="1980"/>
        </w:tabs>
        <w:ind w:left="1620" w:hanging="1980"/>
        <w:jc w:val="center"/>
      </w:pPr>
      <w:r>
        <w:t>-</w:t>
      </w:r>
      <w:r>
        <w:rPr>
          <w:noProof/>
        </w:rPr>
        <w:drawing>
          <wp:inline distT="0" distB="0" distL="0" distR="0" wp14:anchorId="3583A542" wp14:editId="1667AA9F">
            <wp:extent cx="5229225" cy="1123950"/>
            <wp:effectExtent l="0" t="0" r="9525" b="0"/>
            <wp:docPr id="4" name="Picture 4" descr="C:\Users\rhallora\Desktop\Door prisyms advis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allora\Desktop\Door prisyms advisor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29225" cy="1123950"/>
                    </a:xfrm>
                    <a:prstGeom prst="rect">
                      <a:avLst/>
                    </a:prstGeom>
                    <a:noFill/>
                    <a:ln>
                      <a:noFill/>
                    </a:ln>
                  </pic:spPr>
                </pic:pic>
              </a:graphicData>
            </a:graphic>
          </wp:inline>
        </w:drawing>
      </w:r>
    </w:p>
    <w:p w14:paraId="5254A805" w14:textId="77777777" w:rsidR="00F55651" w:rsidRDefault="00F55651" w:rsidP="00854F0C">
      <w:pPr>
        <w:tabs>
          <w:tab w:val="left" w:pos="1980"/>
        </w:tabs>
        <w:spacing w:after="120"/>
        <w:ind w:left="1620" w:right="43" w:hanging="1980"/>
        <w:rPr>
          <w:rFonts w:ascii="Arial" w:hAnsi="Arial" w:cs="Arial"/>
          <w:color w:val="000000"/>
          <w:sz w:val="22"/>
          <w:szCs w:val="22"/>
        </w:rPr>
      </w:pPr>
    </w:p>
    <w:p w14:paraId="3F0212BF" w14:textId="77777777" w:rsidR="009643E0" w:rsidRDefault="009643E0" w:rsidP="00854F0C">
      <w:pPr>
        <w:tabs>
          <w:tab w:val="left" w:pos="1980"/>
        </w:tabs>
        <w:spacing w:after="120"/>
        <w:ind w:left="1620" w:right="43" w:hanging="1980"/>
        <w:rPr>
          <w:rFonts w:ascii="Arial" w:hAnsi="Arial" w:cs="Arial"/>
          <w:color w:val="000000"/>
          <w:sz w:val="22"/>
          <w:szCs w:val="22"/>
        </w:rPr>
      </w:pPr>
    </w:p>
    <w:p w14:paraId="4D9605B3" w14:textId="77777777" w:rsidR="009643E0" w:rsidRDefault="009643E0" w:rsidP="00854F0C">
      <w:pPr>
        <w:tabs>
          <w:tab w:val="left" w:pos="1980"/>
        </w:tabs>
        <w:spacing w:after="120"/>
        <w:ind w:left="1620" w:right="43" w:hanging="1980"/>
        <w:rPr>
          <w:rFonts w:ascii="Arial" w:hAnsi="Arial" w:cs="Arial"/>
          <w:color w:val="000000"/>
          <w:sz w:val="22"/>
          <w:szCs w:val="22"/>
        </w:rPr>
      </w:pPr>
    </w:p>
    <w:p w14:paraId="0E0F2D03" w14:textId="21BF51AA" w:rsidR="006B589A" w:rsidRPr="00F55651" w:rsidRDefault="007A7444" w:rsidP="009643E0">
      <w:pPr>
        <w:tabs>
          <w:tab w:val="left" w:pos="1980"/>
        </w:tabs>
        <w:spacing w:after="120"/>
        <w:ind w:left="900" w:right="43"/>
        <w:rPr>
          <w:rFonts w:ascii="Arial" w:hAnsi="Arial" w:cs="Arial"/>
          <w:color w:val="000000"/>
          <w:sz w:val="22"/>
          <w:szCs w:val="22"/>
        </w:rPr>
      </w:pPr>
      <w:r>
        <w:rPr>
          <w:rFonts w:ascii="Arial" w:hAnsi="Arial" w:cs="Arial"/>
          <w:color w:val="000000"/>
          <w:sz w:val="22"/>
          <w:szCs w:val="22"/>
        </w:rPr>
        <w:lastRenderedPageBreak/>
        <w:t>NOTE: I</w:t>
      </w:r>
      <w:r w:rsidR="00F75E75" w:rsidRPr="00F55651">
        <w:rPr>
          <w:rFonts w:ascii="Arial" w:hAnsi="Arial" w:cs="Arial"/>
          <w:color w:val="000000"/>
          <w:sz w:val="22"/>
          <w:szCs w:val="22"/>
        </w:rPr>
        <w:t>f</w:t>
      </w:r>
      <w:r w:rsidR="0033752B" w:rsidRPr="00F55651">
        <w:rPr>
          <w:rFonts w:ascii="Arial" w:hAnsi="Arial" w:cs="Arial"/>
          <w:color w:val="000000"/>
          <w:sz w:val="22"/>
          <w:szCs w:val="22"/>
        </w:rPr>
        <w:t xml:space="preserve"> the viewer has a flip open door on it, </w:t>
      </w:r>
      <w:r w:rsidR="002F43C5" w:rsidRPr="00F55651">
        <w:rPr>
          <w:rFonts w:ascii="Arial" w:hAnsi="Arial" w:cs="Arial"/>
          <w:color w:val="000000"/>
          <w:sz w:val="22"/>
          <w:szCs w:val="22"/>
        </w:rPr>
        <w:t xml:space="preserve">or it is an adjustable viewer; </w:t>
      </w:r>
      <w:r w:rsidR="0033752B" w:rsidRPr="00F55651">
        <w:rPr>
          <w:rFonts w:ascii="Arial" w:hAnsi="Arial" w:cs="Arial"/>
          <w:color w:val="000000"/>
          <w:sz w:val="22"/>
          <w:szCs w:val="22"/>
        </w:rPr>
        <w:t>this is an operable part and must be mounted within reach ranges and meet the conditions of operable parts. The reach range requirement would also apply to the required exterior doorbell at each unit entry.</w:t>
      </w:r>
    </w:p>
    <w:p w14:paraId="758DB4AD" w14:textId="77777777" w:rsidR="00B778F1" w:rsidRPr="00F55651" w:rsidRDefault="00B778F1" w:rsidP="00854F0C">
      <w:pPr>
        <w:tabs>
          <w:tab w:val="left" w:pos="1980"/>
        </w:tabs>
        <w:spacing w:after="120"/>
        <w:ind w:left="1620" w:right="43" w:hanging="1980"/>
        <w:rPr>
          <w:rFonts w:ascii="Arial" w:hAnsi="Arial" w:cs="Arial"/>
          <w:color w:val="000000"/>
          <w:sz w:val="22"/>
          <w:szCs w:val="22"/>
        </w:rPr>
      </w:pPr>
    </w:p>
    <w:p w14:paraId="585957B8" w14:textId="77777777" w:rsidR="00B778F1" w:rsidRDefault="00B778F1" w:rsidP="00854F0C">
      <w:pPr>
        <w:tabs>
          <w:tab w:val="left" w:pos="1980"/>
        </w:tabs>
        <w:spacing w:after="120"/>
        <w:ind w:left="1620" w:right="43" w:hanging="1980"/>
        <w:rPr>
          <w:rFonts w:ascii="Arial" w:hAnsi="Arial" w:cs="Arial"/>
          <w:color w:val="000000"/>
          <w:sz w:val="22"/>
          <w:szCs w:val="22"/>
        </w:rPr>
      </w:pPr>
    </w:p>
    <w:p w14:paraId="6E736E18" w14:textId="77777777" w:rsidR="009643E0" w:rsidRDefault="009643E0" w:rsidP="00854F0C">
      <w:pPr>
        <w:tabs>
          <w:tab w:val="left" w:pos="1980"/>
        </w:tabs>
        <w:spacing w:after="120"/>
        <w:ind w:left="1620" w:right="43" w:hanging="1980"/>
        <w:rPr>
          <w:rFonts w:ascii="Arial" w:hAnsi="Arial" w:cs="Arial"/>
          <w:color w:val="000000"/>
          <w:sz w:val="22"/>
          <w:szCs w:val="22"/>
        </w:rPr>
      </w:pPr>
    </w:p>
    <w:p w14:paraId="4EE78363" w14:textId="77777777" w:rsidR="007E42AE" w:rsidRPr="00F55651" w:rsidRDefault="007E42AE" w:rsidP="00854F0C">
      <w:pPr>
        <w:tabs>
          <w:tab w:val="left" w:pos="1980"/>
        </w:tabs>
        <w:spacing w:after="120"/>
        <w:ind w:left="1620" w:right="43" w:hanging="1980"/>
        <w:rPr>
          <w:rFonts w:ascii="Arial" w:hAnsi="Arial" w:cs="Arial"/>
          <w:color w:val="000000"/>
          <w:sz w:val="22"/>
          <w:szCs w:val="22"/>
        </w:rPr>
      </w:pPr>
    </w:p>
    <w:p w14:paraId="47567822" w14:textId="26881DAF" w:rsidR="00D7144B" w:rsidRPr="00F55651" w:rsidRDefault="00D7144B" w:rsidP="00854F0C">
      <w:pPr>
        <w:tabs>
          <w:tab w:val="left" w:pos="1980"/>
        </w:tabs>
        <w:spacing w:after="120"/>
        <w:ind w:left="1620" w:right="43" w:hanging="1980"/>
        <w:rPr>
          <w:rFonts w:ascii="Times New Roman" w:hAnsi="Times New Roman"/>
          <w:sz w:val="22"/>
          <w:szCs w:val="22"/>
        </w:rPr>
      </w:pPr>
      <w:r w:rsidRPr="00F55651">
        <w:rPr>
          <w:rFonts w:ascii="Times New Roman" w:hAnsi="Times New Roman"/>
          <w:sz w:val="22"/>
          <w:szCs w:val="22"/>
        </w:rPr>
        <w:t>__________________________________</w:t>
      </w:r>
      <w:r w:rsidR="007E42AE">
        <w:rPr>
          <w:rFonts w:ascii="Times New Roman" w:hAnsi="Times New Roman"/>
          <w:sz w:val="22"/>
          <w:szCs w:val="22"/>
        </w:rPr>
        <w:t>__</w:t>
      </w:r>
      <w:r w:rsidRPr="00F55651">
        <w:rPr>
          <w:rFonts w:ascii="Times New Roman" w:hAnsi="Times New Roman"/>
          <w:sz w:val="22"/>
          <w:szCs w:val="22"/>
        </w:rPr>
        <w:t>_________________</w:t>
      </w:r>
    </w:p>
    <w:p w14:paraId="5B4B7DC0" w14:textId="77777777" w:rsidR="00D7144B" w:rsidRPr="00F55651" w:rsidRDefault="006C4D54" w:rsidP="00854F0C">
      <w:pPr>
        <w:tabs>
          <w:tab w:val="left" w:pos="1980"/>
        </w:tabs>
        <w:ind w:left="1620" w:right="43" w:hanging="1980"/>
        <w:rPr>
          <w:rFonts w:ascii="Arial" w:hAnsi="Arial" w:cs="Arial"/>
          <w:sz w:val="22"/>
          <w:szCs w:val="22"/>
        </w:rPr>
      </w:pPr>
      <w:r w:rsidRPr="00F55651">
        <w:rPr>
          <w:rFonts w:ascii="Arial" w:hAnsi="Arial" w:cs="Arial"/>
          <w:sz w:val="22"/>
          <w:szCs w:val="22"/>
        </w:rPr>
        <w:t>Tom C. Hui, S.E.</w:t>
      </w:r>
      <w:r w:rsidRPr="00F55651">
        <w:rPr>
          <w:rFonts w:ascii="Arial" w:hAnsi="Arial" w:cs="Arial"/>
          <w:sz w:val="22"/>
          <w:szCs w:val="22"/>
          <w:lang w:eastAsia="zh-TW"/>
        </w:rPr>
        <w:t>, C.B.O</w:t>
      </w:r>
      <w:r w:rsidR="00762A98" w:rsidRPr="00F55651">
        <w:rPr>
          <w:rFonts w:ascii="Arial" w:hAnsi="Arial" w:cs="Arial"/>
          <w:sz w:val="22"/>
          <w:szCs w:val="22"/>
          <w:lang w:eastAsia="zh-TW"/>
        </w:rPr>
        <w:t>.</w:t>
      </w:r>
      <w:r w:rsidR="00D7144B" w:rsidRPr="00F55651">
        <w:rPr>
          <w:rFonts w:ascii="Arial" w:hAnsi="Arial" w:cs="Arial"/>
          <w:sz w:val="22"/>
          <w:szCs w:val="22"/>
        </w:rPr>
        <w:t xml:space="preserve">                                  Date</w:t>
      </w:r>
    </w:p>
    <w:p w14:paraId="7A2420F0" w14:textId="43AC9F8E" w:rsidR="00D7144B" w:rsidRPr="00F55651" w:rsidRDefault="00D7144B" w:rsidP="00854F0C">
      <w:pPr>
        <w:tabs>
          <w:tab w:val="left" w:pos="1980"/>
        </w:tabs>
        <w:ind w:left="1620" w:right="43" w:hanging="1980"/>
        <w:rPr>
          <w:rFonts w:ascii="Arial" w:hAnsi="Arial" w:cs="Arial"/>
          <w:sz w:val="22"/>
          <w:szCs w:val="22"/>
        </w:rPr>
      </w:pPr>
      <w:r w:rsidRPr="00F55651">
        <w:rPr>
          <w:rFonts w:ascii="Arial" w:hAnsi="Arial" w:cs="Arial"/>
          <w:sz w:val="22"/>
          <w:szCs w:val="22"/>
        </w:rPr>
        <w:t>Director</w:t>
      </w:r>
    </w:p>
    <w:p w14:paraId="5710907F" w14:textId="382B3622" w:rsidR="00D7144B" w:rsidRDefault="00D7144B" w:rsidP="00854F0C">
      <w:pPr>
        <w:tabs>
          <w:tab w:val="left" w:pos="1980"/>
        </w:tabs>
        <w:spacing w:after="240" w:line="480" w:lineRule="auto"/>
        <w:ind w:left="1620" w:right="43" w:hanging="1980"/>
        <w:rPr>
          <w:rFonts w:ascii="Arial" w:hAnsi="Arial" w:cs="Arial"/>
          <w:sz w:val="22"/>
          <w:szCs w:val="22"/>
        </w:rPr>
      </w:pPr>
      <w:r w:rsidRPr="00F55651">
        <w:rPr>
          <w:rFonts w:ascii="Arial" w:hAnsi="Arial" w:cs="Arial"/>
          <w:sz w:val="22"/>
          <w:szCs w:val="22"/>
        </w:rPr>
        <w:t>Department of Building Inspection</w:t>
      </w:r>
    </w:p>
    <w:p w14:paraId="6358B076" w14:textId="5C7677E1" w:rsidR="007E42AE" w:rsidRPr="00F55651" w:rsidRDefault="007E42AE" w:rsidP="00854F0C">
      <w:pPr>
        <w:tabs>
          <w:tab w:val="left" w:pos="1980"/>
        </w:tabs>
        <w:spacing w:after="240" w:line="480" w:lineRule="auto"/>
        <w:ind w:left="1620" w:right="43" w:hanging="1980"/>
        <w:rPr>
          <w:rFonts w:ascii="Arial" w:hAnsi="Arial" w:cs="Arial"/>
          <w:sz w:val="22"/>
          <w:szCs w:val="22"/>
        </w:rPr>
      </w:pPr>
      <w:r>
        <w:rPr>
          <w:rFonts w:ascii="Arial" w:hAnsi="Arial" w:cs="Arial"/>
          <w:sz w:val="22"/>
          <w:szCs w:val="22"/>
        </w:rPr>
        <w:t>Attachment:  a/s</w:t>
      </w:r>
    </w:p>
    <w:p w14:paraId="710C5FE2" w14:textId="61E66F2A" w:rsidR="00C8069A" w:rsidRPr="00C8069A" w:rsidRDefault="00C8069A" w:rsidP="00854F0C">
      <w:pPr>
        <w:pStyle w:val="ListParagraph"/>
        <w:tabs>
          <w:tab w:val="left" w:pos="1980"/>
        </w:tabs>
        <w:ind w:left="1620" w:hanging="1980"/>
      </w:pPr>
    </w:p>
    <w:p w14:paraId="346010EE" w14:textId="77777777" w:rsidR="00C8069A" w:rsidRPr="00C8069A" w:rsidRDefault="00C8069A" w:rsidP="00854F0C">
      <w:pPr>
        <w:tabs>
          <w:tab w:val="left" w:pos="1980"/>
        </w:tabs>
        <w:ind w:left="1620" w:hanging="1980"/>
      </w:pPr>
    </w:p>
    <w:p w14:paraId="2A845709" w14:textId="77777777" w:rsidR="00C8069A" w:rsidRPr="00C8069A" w:rsidRDefault="00C8069A" w:rsidP="00854F0C">
      <w:pPr>
        <w:tabs>
          <w:tab w:val="left" w:pos="1980"/>
        </w:tabs>
        <w:ind w:left="1620" w:hanging="1980"/>
      </w:pPr>
    </w:p>
    <w:p w14:paraId="48933DC4" w14:textId="097C41F1" w:rsidR="00C8069A" w:rsidRDefault="009643E0" w:rsidP="00854F0C">
      <w:pPr>
        <w:tabs>
          <w:tab w:val="left" w:pos="1980"/>
        </w:tabs>
        <w:ind w:left="1620" w:hanging="1980"/>
      </w:pPr>
      <w:r w:rsidRPr="00F55651">
        <w:rPr>
          <w:noProof/>
          <w:sz w:val="22"/>
          <w:szCs w:val="22"/>
        </w:rPr>
        <mc:AlternateContent>
          <mc:Choice Requires="wps">
            <w:drawing>
              <wp:anchor distT="0" distB="0" distL="114300" distR="114300" simplePos="0" relativeHeight="251658240" behindDoc="0" locked="0" layoutInCell="1" allowOverlap="1" wp14:anchorId="01C80D99" wp14:editId="440BF117">
                <wp:simplePos x="0" y="0"/>
                <wp:positionH relativeFrom="margin">
                  <wp:align>center</wp:align>
                </wp:positionH>
                <wp:positionV relativeFrom="paragraph">
                  <wp:posOffset>6985</wp:posOffset>
                </wp:positionV>
                <wp:extent cx="5943600" cy="4381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
                        </a:xfrm>
                        <a:prstGeom prst="rect">
                          <a:avLst/>
                        </a:prstGeom>
                        <a:solidFill>
                          <a:srgbClr val="FFFFFF"/>
                        </a:solidFill>
                        <a:ln w="9525">
                          <a:solidFill>
                            <a:srgbClr val="000000"/>
                          </a:solidFill>
                          <a:miter lim="800000"/>
                          <a:headEnd/>
                          <a:tailEnd/>
                        </a:ln>
                      </wps:spPr>
                      <wps:txbx>
                        <w:txbxContent>
                          <w:p w14:paraId="0D62C8C6" w14:textId="77777777" w:rsidR="00F66A7A" w:rsidRPr="007E42AE" w:rsidRDefault="00F66A7A" w:rsidP="007A7444">
                            <w:pPr>
                              <w:rPr>
                                <w:rFonts w:asciiTheme="minorHAnsi" w:hAnsiTheme="minorHAnsi" w:cs="Arial"/>
                                <w:b/>
                                <w:sz w:val="22"/>
                                <w:szCs w:val="22"/>
                              </w:rPr>
                            </w:pPr>
                            <w:r w:rsidRPr="007E42AE">
                              <w:rPr>
                                <w:rFonts w:asciiTheme="minorHAnsi" w:hAnsiTheme="minorHAnsi" w:cs="Arial"/>
                                <w:b/>
                                <w:sz w:val="22"/>
                                <w:szCs w:val="22"/>
                              </w:rPr>
                              <w:t>This Information Sheet is subject to modification at any time. For the most current version, visit our website at http://www.sfdbi.org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0D99" id="_x0000_t202" coordsize="21600,21600" o:spt="202" path="m,l,21600r21600,l21600,xe">
                <v:stroke joinstyle="miter"/>
                <v:path gradientshapeok="t" o:connecttype="rect"/>
              </v:shapetype>
              <v:shape id="Text Box 2" o:spid="_x0000_s1026" type="#_x0000_t202" style="position:absolute;left:0;text-align:left;margin-left:0;margin-top:.55pt;width:468pt;height:34.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qOKgIAAFA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U9GCEsM0&#10;SvQohkDewUCKyE5vfYlBDxbDwoDHqHKq1Nt74N89MbDpmNmJW+eg7wRrMLtpvJldXB1xfASp+0/Q&#10;4DNsHyABDa3TkTokgyA6qnQ8KxNT4Xg4X86urnN0cfTNrhbTeZIuY+Xzbet8+CBAk7ipqEPlEzo7&#10;3PsQs2Hlc0h8zIOSzVYqlQy3qzfKkQPDLtmmLxXwIkwZ0ld0OS/mIwF/hcjT9ycILQO2u5K6ootz&#10;ECsjbe9Nk5oxMKnGPaaszInHSN1IYhjq4aRLDc0RGXUwtjWOIW46cD8p6bGlK+p/7JkTlKiPBlVZ&#10;TmezOAPJmM3fFmi4S0996WGGI1RFAyXjdhPGudlbJ3cdvjT2gYFbVLKVieQo+ZjVKW9s28T9acTi&#10;XFzaKerXj2D9BAAA//8DAFBLAwQUAAYACAAAACEAjO8r79sAAAAFAQAADwAAAGRycy9kb3ducmV2&#10;LnhtbEyPwU7DMBBE70j8g7VIXBB1QlHahjgVQgLBDQpqr268TSLsdbDdNPw9ywmOs7OaeVOtJ2fF&#10;iCH2nhTkswwEUuNNT62Cj/fH6yWImDQZbT2hgm+MsK7PzypdGn+iNxw3qRUcQrHUCrqUhlLK2HTo&#10;dJz5AYm9gw9OJ5ahlSboE4c7K2+yrJBO98QNnR7wocPmc3N0Cpa3z+Muvsxft01xsKt0tRifvoJS&#10;lxfT/R2IhFP6e4ZffEaHmpn2/kgmCquAhyS+5iDYXM0L1nsFiywHWVfyP339AwAA//8DAFBLAQIt&#10;ABQABgAIAAAAIQC2gziS/gAAAOEBAAATAAAAAAAAAAAAAAAAAAAAAABbQ29udGVudF9UeXBlc10u&#10;eG1sUEsBAi0AFAAGAAgAAAAhADj9If/WAAAAlAEAAAsAAAAAAAAAAAAAAAAALwEAAF9yZWxzLy5y&#10;ZWxzUEsBAi0AFAAGAAgAAAAhAISr+o4qAgAAUAQAAA4AAAAAAAAAAAAAAAAALgIAAGRycy9lMm9E&#10;b2MueG1sUEsBAi0AFAAGAAgAAAAhAIzvK+/bAAAABQEAAA8AAAAAAAAAAAAAAAAAhAQAAGRycy9k&#10;b3ducmV2LnhtbFBLBQYAAAAABAAEAPMAAACMBQAAAAA=&#10;">
                <v:textbox>
                  <w:txbxContent>
                    <w:p w14:paraId="0D62C8C6" w14:textId="77777777" w:rsidR="00F66A7A" w:rsidRPr="007E42AE" w:rsidRDefault="00F66A7A" w:rsidP="007A7444">
                      <w:pPr>
                        <w:rPr>
                          <w:rFonts w:asciiTheme="minorHAnsi" w:hAnsiTheme="minorHAnsi" w:cs="Arial"/>
                          <w:b/>
                          <w:sz w:val="22"/>
                          <w:szCs w:val="22"/>
                        </w:rPr>
                      </w:pPr>
                      <w:r w:rsidRPr="007E42AE">
                        <w:rPr>
                          <w:rFonts w:asciiTheme="minorHAnsi" w:hAnsiTheme="minorHAnsi" w:cs="Arial"/>
                          <w:b/>
                          <w:sz w:val="22"/>
                          <w:szCs w:val="22"/>
                        </w:rPr>
                        <w:t>This Information Sheet is subject to modification at any time. For the most current version, visit our website at http://www.sfdbi.org</w:t>
                      </w:r>
                    </w:p>
                  </w:txbxContent>
                </v:textbox>
                <w10:wrap anchorx="margin"/>
              </v:shape>
            </w:pict>
          </mc:Fallback>
        </mc:AlternateContent>
      </w:r>
    </w:p>
    <w:p w14:paraId="0A5C14EF" w14:textId="099BC4B5" w:rsidR="00C8069A" w:rsidRDefault="00C8069A" w:rsidP="00854F0C">
      <w:pPr>
        <w:tabs>
          <w:tab w:val="left" w:pos="1980"/>
        </w:tabs>
        <w:ind w:left="1620" w:hanging="1980"/>
      </w:pPr>
    </w:p>
    <w:p w14:paraId="37D609DA" w14:textId="70DA8063" w:rsidR="00D7144B" w:rsidRDefault="00C8069A" w:rsidP="00854F0C">
      <w:pPr>
        <w:tabs>
          <w:tab w:val="left" w:pos="900"/>
          <w:tab w:val="left" w:pos="1980"/>
        </w:tabs>
        <w:ind w:left="1620" w:hanging="1980"/>
      </w:pPr>
      <w:r>
        <w:tab/>
      </w:r>
    </w:p>
    <w:p w14:paraId="4FDC435F" w14:textId="2DC6529F" w:rsidR="00C8069A" w:rsidRDefault="00C8069A" w:rsidP="00854F0C">
      <w:pPr>
        <w:tabs>
          <w:tab w:val="left" w:pos="900"/>
          <w:tab w:val="left" w:pos="1980"/>
        </w:tabs>
        <w:ind w:left="1620" w:hanging="1980"/>
      </w:pPr>
    </w:p>
    <w:p w14:paraId="50116ED9" w14:textId="77777777" w:rsidR="00C8069A" w:rsidRDefault="00C8069A" w:rsidP="00854F0C">
      <w:pPr>
        <w:tabs>
          <w:tab w:val="left" w:pos="900"/>
          <w:tab w:val="left" w:pos="1980"/>
        </w:tabs>
        <w:ind w:left="1620" w:hanging="1980"/>
      </w:pPr>
    </w:p>
    <w:p w14:paraId="47D664C8" w14:textId="454447E1" w:rsidR="00C8069A" w:rsidRDefault="00C8069A" w:rsidP="00854F0C">
      <w:pPr>
        <w:tabs>
          <w:tab w:val="left" w:pos="900"/>
          <w:tab w:val="left" w:pos="1980"/>
        </w:tabs>
        <w:ind w:left="1620" w:hanging="1980"/>
      </w:pPr>
    </w:p>
    <w:p w14:paraId="06E5205B" w14:textId="77777777" w:rsidR="00C8069A" w:rsidRDefault="00C8069A" w:rsidP="00854F0C">
      <w:pPr>
        <w:tabs>
          <w:tab w:val="left" w:pos="900"/>
          <w:tab w:val="left" w:pos="1980"/>
        </w:tabs>
        <w:ind w:left="1620" w:hanging="1980"/>
      </w:pPr>
    </w:p>
    <w:p w14:paraId="1F16F26A" w14:textId="025B455E" w:rsidR="00C8069A" w:rsidRDefault="00C8069A" w:rsidP="00854F0C">
      <w:pPr>
        <w:tabs>
          <w:tab w:val="left" w:pos="900"/>
          <w:tab w:val="left" w:pos="1980"/>
        </w:tabs>
        <w:ind w:left="1620" w:hanging="1980"/>
      </w:pPr>
    </w:p>
    <w:p w14:paraId="4E5E9E8E" w14:textId="0199DA89" w:rsidR="00C8069A" w:rsidRDefault="00C8069A" w:rsidP="00854F0C">
      <w:pPr>
        <w:tabs>
          <w:tab w:val="left" w:pos="900"/>
          <w:tab w:val="left" w:pos="1980"/>
        </w:tabs>
        <w:ind w:left="1620" w:hanging="1980"/>
      </w:pPr>
    </w:p>
    <w:p w14:paraId="1EF58375" w14:textId="1BDAD44F" w:rsidR="00C8069A" w:rsidRDefault="00C8069A" w:rsidP="00854F0C">
      <w:pPr>
        <w:tabs>
          <w:tab w:val="left" w:pos="900"/>
          <w:tab w:val="left" w:pos="1980"/>
        </w:tabs>
        <w:ind w:left="1620" w:hanging="1980"/>
      </w:pPr>
    </w:p>
    <w:p w14:paraId="4BC0D920" w14:textId="2F8B1B05" w:rsidR="00C8069A" w:rsidRDefault="00C8069A" w:rsidP="00854F0C">
      <w:pPr>
        <w:tabs>
          <w:tab w:val="left" w:pos="900"/>
          <w:tab w:val="left" w:pos="1980"/>
        </w:tabs>
        <w:ind w:left="1620" w:hanging="1980"/>
      </w:pPr>
    </w:p>
    <w:p w14:paraId="40566E40" w14:textId="77777777" w:rsidR="00C8069A" w:rsidRDefault="00C8069A" w:rsidP="00854F0C">
      <w:pPr>
        <w:tabs>
          <w:tab w:val="left" w:pos="900"/>
          <w:tab w:val="left" w:pos="1980"/>
        </w:tabs>
        <w:ind w:left="1620" w:hanging="1980"/>
      </w:pPr>
    </w:p>
    <w:p w14:paraId="4ED06DFB" w14:textId="77777777" w:rsidR="00C8069A" w:rsidRDefault="00C8069A" w:rsidP="00C8069A">
      <w:pPr>
        <w:tabs>
          <w:tab w:val="left" w:pos="900"/>
        </w:tabs>
      </w:pPr>
    </w:p>
    <w:p w14:paraId="2D182321" w14:textId="77777777" w:rsidR="00C8069A" w:rsidRDefault="00C8069A" w:rsidP="00C8069A">
      <w:pPr>
        <w:tabs>
          <w:tab w:val="left" w:pos="900"/>
        </w:tabs>
      </w:pPr>
    </w:p>
    <w:p w14:paraId="120886E0" w14:textId="77777777" w:rsidR="00C8069A" w:rsidRDefault="00C8069A" w:rsidP="00C8069A">
      <w:pPr>
        <w:tabs>
          <w:tab w:val="left" w:pos="900"/>
        </w:tabs>
      </w:pPr>
    </w:p>
    <w:p w14:paraId="6C2B09B4" w14:textId="77777777" w:rsidR="00C8069A" w:rsidRDefault="00C8069A" w:rsidP="00C8069A">
      <w:pPr>
        <w:tabs>
          <w:tab w:val="left" w:pos="900"/>
        </w:tabs>
      </w:pPr>
    </w:p>
    <w:p w14:paraId="4A201F6C" w14:textId="77777777" w:rsidR="00C8069A" w:rsidRDefault="00C8069A" w:rsidP="00C8069A">
      <w:pPr>
        <w:tabs>
          <w:tab w:val="left" w:pos="900"/>
        </w:tabs>
      </w:pPr>
    </w:p>
    <w:p w14:paraId="4D6254C4" w14:textId="77777777" w:rsidR="00C8069A" w:rsidRDefault="00C8069A" w:rsidP="00C8069A">
      <w:pPr>
        <w:tabs>
          <w:tab w:val="left" w:pos="900"/>
        </w:tabs>
      </w:pPr>
    </w:p>
    <w:p w14:paraId="505AB792" w14:textId="77777777" w:rsidR="00C8069A" w:rsidRDefault="00C8069A" w:rsidP="00C8069A">
      <w:pPr>
        <w:tabs>
          <w:tab w:val="left" w:pos="900"/>
        </w:tabs>
      </w:pPr>
    </w:p>
    <w:p w14:paraId="43414A1C" w14:textId="77777777" w:rsidR="00C8069A" w:rsidRDefault="00C8069A" w:rsidP="00C8069A">
      <w:pPr>
        <w:tabs>
          <w:tab w:val="left" w:pos="900"/>
        </w:tabs>
      </w:pPr>
    </w:p>
    <w:p w14:paraId="65208765" w14:textId="77777777" w:rsidR="00C8069A" w:rsidRDefault="00C8069A" w:rsidP="00C8069A">
      <w:pPr>
        <w:tabs>
          <w:tab w:val="left" w:pos="900"/>
        </w:tabs>
        <w:rPr>
          <w:noProof/>
        </w:rPr>
      </w:pPr>
    </w:p>
    <w:p w14:paraId="42D11113" w14:textId="77777777" w:rsidR="00C8069A" w:rsidRDefault="00C8069A" w:rsidP="00C8069A">
      <w:pPr>
        <w:tabs>
          <w:tab w:val="left" w:pos="900"/>
        </w:tabs>
        <w:rPr>
          <w:noProof/>
        </w:rPr>
      </w:pPr>
    </w:p>
    <w:p w14:paraId="6988D09B" w14:textId="084A4CCE" w:rsidR="00C8069A" w:rsidRDefault="00C8069A" w:rsidP="00C8069A">
      <w:pPr>
        <w:tabs>
          <w:tab w:val="left" w:pos="900"/>
        </w:tabs>
        <w:rPr>
          <w:noProof/>
        </w:rPr>
      </w:pPr>
    </w:p>
    <w:p w14:paraId="40B7A7D2" w14:textId="77777777" w:rsidR="00C8069A" w:rsidRDefault="00C8069A" w:rsidP="00C8069A">
      <w:pPr>
        <w:tabs>
          <w:tab w:val="left" w:pos="900"/>
        </w:tabs>
        <w:rPr>
          <w:noProof/>
        </w:rPr>
      </w:pPr>
    </w:p>
    <w:p w14:paraId="120FA490" w14:textId="77777777" w:rsidR="007F06E9" w:rsidRDefault="007F06E9" w:rsidP="00C8069A">
      <w:pPr>
        <w:tabs>
          <w:tab w:val="left" w:pos="900"/>
        </w:tabs>
        <w:rPr>
          <w:noProof/>
        </w:rPr>
      </w:pPr>
    </w:p>
    <w:p w14:paraId="4070BE70" w14:textId="257121E0" w:rsidR="00C8069A" w:rsidRPr="00C8069A" w:rsidRDefault="00C8069A" w:rsidP="00C8069A">
      <w:pPr>
        <w:tabs>
          <w:tab w:val="left" w:pos="900"/>
        </w:tabs>
        <w:rPr>
          <w:noProof/>
        </w:rPr>
      </w:pPr>
    </w:p>
    <w:sectPr w:rsidR="00C8069A" w:rsidRPr="00C8069A" w:rsidSect="00375A1F">
      <w:headerReference w:type="default" r:id="rId9"/>
      <w:footerReference w:type="default" r:id="rId10"/>
      <w:headerReference w:type="first" r:id="rId11"/>
      <w:footerReference w:type="first" r:id="rId12"/>
      <w:endnotePr>
        <w:numFmt w:val="decimal"/>
      </w:endnotePr>
      <w:pgSz w:w="12240" w:h="15840" w:code="1"/>
      <w:pgMar w:top="1440" w:right="720" w:bottom="864" w:left="1354" w:header="288"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D9D4A" w14:textId="77777777" w:rsidR="00F66A7A" w:rsidRDefault="00F66A7A">
      <w:r>
        <w:separator/>
      </w:r>
    </w:p>
  </w:endnote>
  <w:endnote w:type="continuationSeparator" w:id="0">
    <w:p w14:paraId="1BED9840" w14:textId="77777777" w:rsidR="00F66A7A" w:rsidRDefault="00F66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49B0C" w14:textId="4A39CBBB" w:rsidR="00F66A7A" w:rsidRPr="00375A1F" w:rsidRDefault="00F66A7A" w:rsidP="00375A1F">
    <w:pPr>
      <w:pStyle w:val="Footer"/>
      <w:tabs>
        <w:tab w:val="clear" w:pos="8640"/>
        <w:tab w:val="right" w:pos="10080"/>
      </w:tabs>
      <w:jc w:val="center"/>
      <w:rPr>
        <w:rFonts w:ascii="Arial" w:hAnsi="Arial" w:cs="Arial"/>
        <w:sz w:val="22"/>
        <w:szCs w:val="22"/>
      </w:rPr>
    </w:pPr>
    <w:r w:rsidRPr="005035CC">
      <w:rPr>
        <w:rFonts w:ascii="Arial" w:hAnsi="Arial" w:cs="Arial"/>
        <w:sz w:val="22"/>
        <w:szCs w:val="22"/>
      </w:rPr>
      <w:t xml:space="preserve">Page </w:t>
    </w:r>
    <w:r w:rsidRPr="005035CC">
      <w:rPr>
        <w:rFonts w:ascii="Arial" w:hAnsi="Arial" w:cs="Arial"/>
        <w:sz w:val="22"/>
        <w:szCs w:val="22"/>
      </w:rPr>
      <w:fldChar w:fldCharType="begin"/>
    </w:r>
    <w:r w:rsidRPr="005035CC">
      <w:rPr>
        <w:rFonts w:ascii="Arial" w:hAnsi="Arial" w:cs="Arial"/>
        <w:sz w:val="22"/>
        <w:szCs w:val="22"/>
      </w:rPr>
      <w:instrText xml:space="preserve"> PAGE </w:instrText>
    </w:r>
    <w:r w:rsidRPr="005035CC">
      <w:rPr>
        <w:rFonts w:ascii="Arial" w:hAnsi="Arial" w:cs="Arial"/>
        <w:sz w:val="22"/>
        <w:szCs w:val="22"/>
      </w:rPr>
      <w:fldChar w:fldCharType="separate"/>
    </w:r>
    <w:r w:rsidR="004F297F">
      <w:rPr>
        <w:rFonts w:ascii="Arial" w:hAnsi="Arial" w:cs="Arial"/>
        <w:noProof/>
        <w:sz w:val="22"/>
        <w:szCs w:val="22"/>
      </w:rPr>
      <w:t>2</w:t>
    </w:r>
    <w:r w:rsidRPr="005035CC">
      <w:rPr>
        <w:rFonts w:ascii="Arial" w:hAnsi="Arial" w:cs="Arial"/>
        <w:sz w:val="22"/>
        <w:szCs w:val="22"/>
      </w:rPr>
      <w:fldChar w:fldCharType="end"/>
    </w:r>
    <w:r w:rsidRPr="005035CC">
      <w:rPr>
        <w:rFonts w:ascii="Arial" w:hAnsi="Arial" w:cs="Arial"/>
        <w:sz w:val="22"/>
        <w:szCs w:val="22"/>
      </w:rPr>
      <w:t xml:space="preserve"> of </w:t>
    </w:r>
    <w:r w:rsidRPr="005035CC">
      <w:rPr>
        <w:rFonts w:ascii="Arial" w:hAnsi="Arial" w:cs="Arial"/>
        <w:sz w:val="22"/>
        <w:szCs w:val="22"/>
      </w:rPr>
      <w:fldChar w:fldCharType="begin"/>
    </w:r>
    <w:r w:rsidRPr="005035CC">
      <w:rPr>
        <w:rFonts w:ascii="Arial" w:hAnsi="Arial" w:cs="Arial"/>
        <w:sz w:val="22"/>
        <w:szCs w:val="22"/>
      </w:rPr>
      <w:instrText xml:space="preserve"> NUMPAGES  </w:instrText>
    </w:r>
    <w:r w:rsidRPr="005035CC">
      <w:rPr>
        <w:rFonts w:ascii="Arial" w:hAnsi="Arial" w:cs="Arial"/>
        <w:sz w:val="22"/>
        <w:szCs w:val="22"/>
      </w:rPr>
      <w:fldChar w:fldCharType="separate"/>
    </w:r>
    <w:r w:rsidR="004F297F">
      <w:rPr>
        <w:rFonts w:ascii="Arial" w:hAnsi="Arial" w:cs="Arial"/>
        <w:noProof/>
        <w:sz w:val="22"/>
        <w:szCs w:val="22"/>
      </w:rPr>
      <w:t>5</w:t>
    </w:r>
    <w:r w:rsidRPr="005035CC">
      <w:rPr>
        <w:rFonts w:ascii="Arial" w:hAnsi="Arial"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57E48" w14:textId="6F0A3500" w:rsidR="00F66A7A" w:rsidRDefault="00F66A7A" w:rsidP="00E5704E">
    <w:pPr>
      <w:pStyle w:val="Footer"/>
      <w:tabs>
        <w:tab w:val="clear" w:pos="8640"/>
        <w:tab w:val="left" w:pos="0"/>
        <w:tab w:val="right" w:pos="10080"/>
      </w:tabs>
      <w:jc w:val="center"/>
      <w:rPr>
        <w:rFonts w:ascii="Arial" w:hAnsi="Arial" w:cs="Arial"/>
        <w:sz w:val="22"/>
        <w:szCs w:val="22"/>
      </w:rPr>
    </w:pPr>
    <w:r w:rsidRPr="00E5704E">
      <w:rPr>
        <w:rFonts w:ascii="Arial" w:hAnsi="Arial" w:cs="Arial"/>
        <w:sz w:val="22"/>
        <w:szCs w:val="22"/>
      </w:rPr>
      <w:t xml:space="preserve">Page </w:t>
    </w:r>
    <w:r w:rsidRPr="00E5704E">
      <w:rPr>
        <w:rFonts w:ascii="Arial" w:hAnsi="Arial" w:cs="Arial"/>
        <w:sz w:val="22"/>
        <w:szCs w:val="22"/>
      </w:rPr>
      <w:fldChar w:fldCharType="begin"/>
    </w:r>
    <w:r w:rsidRPr="00E5704E">
      <w:rPr>
        <w:rFonts w:ascii="Arial" w:hAnsi="Arial" w:cs="Arial"/>
        <w:sz w:val="22"/>
        <w:szCs w:val="22"/>
      </w:rPr>
      <w:instrText xml:space="preserve"> PAGE </w:instrText>
    </w:r>
    <w:r w:rsidRPr="00E5704E">
      <w:rPr>
        <w:rFonts w:ascii="Arial" w:hAnsi="Arial" w:cs="Arial"/>
        <w:sz w:val="22"/>
        <w:szCs w:val="22"/>
      </w:rPr>
      <w:fldChar w:fldCharType="separate"/>
    </w:r>
    <w:r w:rsidR="004F297F">
      <w:rPr>
        <w:rFonts w:ascii="Arial" w:hAnsi="Arial" w:cs="Arial"/>
        <w:noProof/>
        <w:sz w:val="22"/>
        <w:szCs w:val="22"/>
      </w:rPr>
      <w:t>1</w:t>
    </w:r>
    <w:r w:rsidRPr="00E5704E">
      <w:rPr>
        <w:rFonts w:ascii="Arial" w:hAnsi="Arial" w:cs="Arial"/>
        <w:sz w:val="22"/>
        <w:szCs w:val="22"/>
      </w:rPr>
      <w:fldChar w:fldCharType="end"/>
    </w:r>
    <w:r w:rsidRPr="00E5704E">
      <w:rPr>
        <w:rFonts w:ascii="Arial" w:hAnsi="Arial" w:cs="Arial"/>
        <w:sz w:val="22"/>
        <w:szCs w:val="22"/>
      </w:rPr>
      <w:t xml:space="preserve"> of </w:t>
    </w:r>
    <w:r w:rsidRPr="00E5704E">
      <w:rPr>
        <w:rFonts w:ascii="Arial" w:hAnsi="Arial" w:cs="Arial"/>
        <w:sz w:val="22"/>
        <w:szCs w:val="22"/>
      </w:rPr>
      <w:fldChar w:fldCharType="begin"/>
    </w:r>
    <w:r w:rsidRPr="00E5704E">
      <w:rPr>
        <w:rFonts w:ascii="Arial" w:hAnsi="Arial" w:cs="Arial"/>
        <w:sz w:val="22"/>
        <w:szCs w:val="22"/>
      </w:rPr>
      <w:instrText xml:space="preserve"> NUMPAGES  </w:instrText>
    </w:r>
    <w:r w:rsidRPr="00E5704E">
      <w:rPr>
        <w:rFonts w:ascii="Arial" w:hAnsi="Arial" w:cs="Arial"/>
        <w:sz w:val="22"/>
        <w:szCs w:val="22"/>
      </w:rPr>
      <w:fldChar w:fldCharType="separate"/>
    </w:r>
    <w:r w:rsidR="004F297F">
      <w:rPr>
        <w:rFonts w:ascii="Arial" w:hAnsi="Arial" w:cs="Arial"/>
        <w:noProof/>
        <w:sz w:val="22"/>
        <w:szCs w:val="22"/>
      </w:rPr>
      <w:t>5</w:t>
    </w:r>
    <w:r w:rsidRPr="00E5704E">
      <w:rPr>
        <w:rFonts w:ascii="Arial" w:hAnsi="Arial" w:cs="Arial"/>
        <w:sz w:val="22"/>
        <w:szCs w:val="22"/>
      </w:rPr>
      <w:fldChar w:fldCharType="end"/>
    </w:r>
  </w:p>
  <w:p w14:paraId="721750F6" w14:textId="77777777" w:rsidR="00C03318" w:rsidRPr="00E5704E" w:rsidRDefault="00C03318" w:rsidP="00E5704E">
    <w:pPr>
      <w:pStyle w:val="Footer"/>
      <w:tabs>
        <w:tab w:val="clear" w:pos="8640"/>
        <w:tab w:val="left" w:pos="0"/>
        <w:tab w:val="right" w:pos="10080"/>
      </w:tabs>
      <w:jc w:val="center"/>
      <w:rPr>
        <w:rFonts w:ascii="Arial" w:hAnsi="Arial" w:cs="Arial"/>
        <w:sz w:val="22"/>
        <w:szCs w:val="22"/>
      </w:rPr>
    </w:pPr>
  </w:p>
  <w:p w14:paraId="332A6460" w14:textId="77777777" w:rsidR="00F66A7A" w:rsidRDefault="00F66A7A" w:rsidP="000A7916">
    <w:pPr>
      <w:pStyle w:val="Footer"/>
      <w:jc w:val="center"/>
      <w:rPr>
        <w:rFonts w:ascii="Arial" w:hAnsi="Arial" w:cs="Arial"/>
        <w:b/>
        <w:bCs/>
      </w:rPr>
    </w:pPr>
    <w:r>
      <w:rPr>
        <w:rFonts w:ascii="Arial" w:hAnsi="Arial" w:cs="Arial"/>
        <w:b/>
        <w:bCs/>
      </w:rPr>
      <w:t>Technical Services Division</w:t>
    </w:r>
  </w:p>
  <w:p w14:paraId="7C599701" w14:textId="77777777" w:rsidR="00F66A7A" w:rsidRDefault="00F66A7A" w:rsidP="000A7916">
    <w:pPr>
      <w:pStyle w:val="Footer"/>
      <w:jc w:val="center"/>
      <w:rPr>
        <w:rFonts w:ascii="Arial" w:hAnsi="Arial" w:cs="Arial"/>
        <w:b/>
        <w:bCs/>
        <w:sz w:val="20"/>
      </w:rPr>
    </w:pPr>
    <w:r>
      <w:rPr>
        <w:rFonts w:ascii="Arial" w:hAnsi="Arial" w:cs="Arial"/>
        <w:b/>
        <w:bCs/>
        <w:sz w:val="20"/>
      </w:rPr>
      <w:t>1660 Mission Street – San Francisco CA 94103</w:t>
    </w:r>
  </w:p>
  <w:p w14:paraId="52A20686" w14:textId="5A7A0EDA" w:rsidR="00F66A7A" w:rsidRPr="00E5704E" w:rsidRDefault="00F66A7A" w:rsidP="00E5704E">
    <w:pPr>
      <w:pStyle w:val="Footer"/>
      <w:jc w:val="center"/>
      <w:rPr>
        <w:rFonts w:ascii="Arial" w:hAnsi="Arial" w:cs="Arial"/>
      </w:rPr>
    </w:pPr>
    <w:r>
      <w:rPr>
        <w:rFonts w:ascii="Arial" w:hAnsi="Arial" w:cs="Arial"/>
        <w:b/>
        <w:bCs/>
        <w:sz w:val="20"/>
      </w:rPr>
      <w:t>Office (415) 558-6205 – FAX (415) 558-6401 – www.sfdbi.org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845B7" w14:textId="77777777" w:rsidR="00F66A7A" w:rsidRDefault="00F66A7A">
      <w:r>
        <w:separator/>
      </w:r>
    </w:p>
  </w:footnote>
  <w:footnote w:type="continuationSeparator" w:id="0">
    <w:p w14:paraId="7A1CCA01" w14:textId="77777777" w:rsidR="00F66A7A" w:rsidRDefault="00F66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F202E" w14:textId="77777777" w:rsidR="00F66A7A" w:rsidRDefault="00F66A7A" w:rsidP="00E32DDB">
    <w:pPr>
      <w:pStyle w:val="Header"/>
      <w:tabs>
        <w:tab w:val="clear" w:pos="8640"/>
        <w:tab w:val="right" w:pos="9360"/>
      </w:tabs>
      <w:rPr>
        <w:rFonts w:ascii="Arial" w:hAnsi="Arial" w:cs="Arial"/>
        <w:sz w:val="22"/>
        <w:szCs w:val="22"/>
      </w:rPr>
    </w:pPr>
  </w:p>
  <w:p w14:paraId="56424081" w14:textId="56B41F0B" w:rsidR="00F66A7A" w:rsidRPr="003A02A5" w:rsidRDefault="00F66A7A" w:rsidP="00375A1F">
    <w:pPr>
      <w:pStyle w:val="Header"/>
      <w:tabs>
        <w:tab w:val="clear" w:pos="8640"/>
      </w:tabs>
      <w:ind w:hanging="720"/>
      <w:rPr>
        <w:rFonts w:ascii="Arial" w:hAnsi="Arial" w:cs="Arial"/>
        <w:b/>
        <w:sz w:val="22"/>
        <w:szCs w:val="22"/>
        <w:lang w:eastAsia="zh-TW"/>
      </w:rPr>
    </w:pPr>
    <w:r w:rsidRPr="003A02A5">
      <w:rPr>
        <w:rFonts w:ascii="Arial" w:hAnsi="Arial" w:cs="Arial"/>
        <w:b/>
        <w:sz w:val="22"/>
        <w:szCs w:val="22"/>
      </w:rPr>
      <w:t xml:space="preserve">INFORMATION SHEET </w:t>
    </w:r>
    <w:r w:rsidRPr="003A02A5">
      <w:rPr>
        <w:rFonts w:ascii="Arial" w:hAnsi="Arial" w:cs="Arial"/>
        <w:b/>
        <w:sz w:val="22"/>
        <w:szCs w:val="22"/>
      </w:rPr>
      <w:tab/>
    </w:r>
    <w:r w:rsidRPr="003A02A5">
      <w:rPr>
        <w:rFonts w:ascii="Arial" w:hAnsi="Arial" w:cs="Arial"/>
        <w:b/>
        <w:sz w:val="22"/>
        <w:szCs w:val="22"/>
      </w:rPr>
      <w:tab/>
    </w:r>
    <w:r w:rsidR="00375A1F">
      <w:rPr>
        <w:rFonts w:ascii="Arial" w:hAnsi="Arial" w:cs="Arial"/>
        <w:b/>
        <w:sz w:val="22"/>
        <w:szCs w:val="22"/>
      </w:rPr>
      <w:tab/>
    </w:r>
    <w:r w:rsidR="00375A1F">
      <w:rPr>
        <w:rFonts w:ascii="Arial" w:hAnsi="Arial" w:cs="Arial"/>
        <w:b/>
        <w:sz w:val="22"/>
        <w:szCs w:val="22"/>
      </w:rPr>
      <w:tab/>
    </w:r>
    <w:r w:rsidR="00375A1F">
      <w:rPr>
        <w:rFonts w:ascii="Arial" w:hAnsi="Arial" w:cs="Arial"/>
        <w:b/>
        <w:sz w:val="22"/>
        <w:szCs w:val="22"/>
      </w:rPr>
      <w:tab/>
    </w:r>
    <w:r w:rsidR="00375A1F">
      <w:rPr>
        <w:rFonts w:ascii="Arial" w:hAnsi="Arial" w:cs="Arial"/>
        <w:b/>
        <w:sz w:val="22"/>
        <w:szCs w:val="22"/>
      </w:rPr>
      <w:tab/>
    </w:r>
    <w:r w:rsidR="00375A1F">
      <w:rPr>
        <w:rFonts w:ascii="Arial" w:hAnsi="Arial" w:cs="Arial"/>
        <w:b/>
        <w:sz w:val="22"/>
        <w:szCs w:val="22"/>
      </w:rPr>
      <w:tab/>
    </w:r>
    <w:r w:rsidR="00375A1F">
      <w:rPr>
        <w:rFonts w:ascii="Arial" w:hAnsi="Arial" w:cs="Arial"/>
        <w:b/>
        <w:sz w:val="22"/>
        <w:szCs w:val="22"/>
      </w:rPr>
      <w:tab/>
    </w:r>
    <w:r w:rsidR="00C03318" w:rsidRPr="003A02A5">
      <w:rPr>
        <w:rFonts w:ascii="Arial" w:hAnsi="Arial" w:cs="Arial" w:hint="eastAsia"/>
        <w:b/>
        <w:sz w:val="22"/>
        <w:szCs w:val="22"/>
        <w:lang w:eastAsia="zh-TW"/>
      </w:rPr>
      <w:t>DA-11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0D614" w14:textId="3F599A2B" w:rsidR="00F66A7A" w:rsidRDefault="00F66A7A" w:rsidP="003E452B">
    <w:pPr>
      <w:pStyle w:val="Heading1"/>
      <w:jc w:val="left"/>
      <w:rPr>
        <w:sz w:val="20"/>
        <w:u w:val="none"/>
      </w:rPr>
    </w:pPr>
    <w:r>
      <w:rPr>
        <w:b w:val="0"/>
        <w:bCs w:val="0"/>
        <w:noProof/>
        <w:sz w:val="20"/>
      </w:rPr>
      <w:drawing>
        <wp:anchor distT="0" distB="0" distL="114300" distR="114300" simplePos="0" relativeHeight="251657216" behindDoc="0" locked="0" layoutInCell="1" allowOverlap="1" wp14:anchorId="5E15E6F8" wp14:editId="094A95D5">
          <wp:simplePos x="0" y="0"/>
          <wp:positionH relativeFrom="column">
            <wp:posOffset>2667000</wp:posOffset>
          </wp:positionH>
          <wp:positionV relativeFrom="paragraph">
            <wp:posOffset>36830</wp:posOffset>
          </wp:positionV>
          <wp:extent cx="1076325" cy="1066800"/>
          <wp:effectExtent l="19050" t="0" r="9525" b="0"/>
          <wp:wrapSquare wrapText="bothSides"/>
          <wp:docPr id="7" name="Picture 7" descr="SF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SEAL"/>
                  <pic:cNvPicPr>
                    <a:picLocks noChangeAspect="1" noChangeArrowheads="1"/>
                  </pic:cNvPicPr>
                </pic:nvPicPr>
                <pic:blipFill>
                  <a:blip r:embed="rId1"/>
                  <a:srcRect/>
                  <a:stretch>
                    <a:fillRect/>
                  </a:stretch>
                </pic:blipFill>
                <pic:spPr bwMode="auto">
                  <a:xfrm>
                    <a:off x="0" y="0"/>
                    <a:ext cx="1076325" cy="1066800"/>
                  </a:xfrm>
                  <a:prstGeom prst="rect">
                    <a:avLst/>
                  </a:prstGeom>
                  <a:noFill/>
                  <a:ln w="9525">
                    <a:noFill/>
                    <a:miter lim="800000"/>
                    <a:headEnd/>
                    <a:tailEnd/>
                  </a:ln>
                </pic:spPr>
              </pic:pic>
            </a:graphicData>
          </a:graphic>
        </wp:anchor>
      </w:drawing>
    </w:r>
  </w:p>
  <w:p w14:paraId="308193CF" w14:textId="6AFD0F14" w:rsidR="00F66A7A" w:rsidRPr="003E452B" w:rsidRDefault="003A1469" w:rsidP="003A1469">
    <w:pPr>
      <w:pStyle w:val="Heading1"/>
      <w:ind w:left="-720" w:right="-270"/>
      <w:jc w:val="both"/>
      <w:rPr>
        <w:sz w:val="20"/>
        <w:u w:val="none"/>
      </w:rPr>
    </w:pPr>
    <w:r>
      <w:rPr>
        <w:sz w:val="20"/>
        <w:u w:val="none"/>
      </w:rPr>
      <w:t>City and County of San Francisco</w:t>
    </w:r>
    <w:r w:rsidR="00F66A7A">
      <w:rPr>
        <w:sz w:val="20"/>
        <w:u w:val="none"/>
      </w:rPr>
      <w:tab/>
    </w:r>
    <w:r w:rsidR="00F66A7A">
      <w:rPr>
        <w:sz w:val="20"/>
        <w:u w:val="none"/>
      </w:rPr>
      <w:tab/>
    </w:r>
    <w:r w:rsidR="00F66A7A">
      <w:rPr>
        <w:rFonts w:hint="eastAsia"/>
        <w:sz w:val="20"/>
        <w:u w:val="none"/>
        <w:lang w:eastAsia="zh-TW"/>
      </w:rPr>
      <w:tab/>
    </w:r>
    <w:r w:rsidR="00F66A7A">
      <w:rPr>
        <w:rFonts w:hint="eastAsia"/>
        <w:sz w:val="20"/>
        <w:u w:val="none"/>
        <w:lang w:eastAsia="zh-TW"/>
      </w:rPr>
      <w:tab/>
    </w:r>
    <w:r>
      <w:rPr>
        <w:rFonts w:hint="eastAsia"/>
        <w:sz w:val="20"/>
        <w:u w:val="none"/>
        <w:lang w:eastAsia="zh-TW"/>
      </w:rPr>
      <w:t xml:space="preserve">            </w:t>
    </w:r>
    <w:r>
      <w:rPr>
        <w:sz w:val="20"/>
        <w:u w:val="none"/>
        <w:lang w:eastAsia="zh-TW"/>
      </w:rPr>
      <w:t xml:space="preserve">     </w:t>
    </w:r>
    <w:r>
      <w:rPr>
        <w:sz w:val="20"/>
        <w:u w:val="none"/>
      </w:rPr>
      <w:t xml:space="preserve">Edwin </w:t>
    </w:r>
    <w:r w:rsidR="00F66A7A">
      <w:rPr>
        <w:sz w:val="20"/>
        <w:u w:val="none"/>
      </w:rPr>
      <w:t>M. Lee</w:t>
    </w:r>
    <w:r w:rsidR="00F66A7A" w:rsidRPr="003E452B">
      <w:rPr>
        <w:sz w:val="20"/>
        <w:u w:val="none"/>
      </w:rPr>
      <w:t>, Mayor</w:t>
    </w:r>
  </w:p>
  <w:p w14:paraId="76103E2B" w14:textId="09385E4C" w:rsidR="00F66A7A" w:rsidRDefault="00F66A7A" w:rsidP="003A1469">
    <w:pPr>
      <w:ind w:left="-720" w:right="-270"/>
      <w:jc w:val="both"/>
    </w:pPr>
    <w:r w:rsidRPr="00605949">
      <w:rPr>
        <w:rFonts w:ascii="Arial" w:hAnsi="Arial" w:cs="Arial"/>
        <w:b/>
        <w:bCs/>
        <w:sz w:val="20"/>
      </w:rPr>
      <w:t>Department of Building Inspection</w:t>
    </w:r>
    <w:r>
      <w:rPr>
        <w:b/>
        <w:bCs/>
        <w:sz w:val="20"/>
      </w:rPr>
      <w:tab/>
    </w:r>
    <w:r>
      <w:rPr>
        <w:b/>
        <w:bCs/>
        <w:sz w:val="20"/>
      </w:rPr>
      <w:tab/>
    </w:r>
    <w:r>
      <w:rPr>
        <w:b/>
        <w:bCs/>
        <w:sz w:val="20"/>
      </w:rPr>
      <w:tab/>
    </w:r>
    <w:r w:rsidR="003A1469">
      <w:rPr>
        <w:b/>
        <w:bCs/>
        <w:sz w:val="20"/>
      </w:rPr>
      <w:t xml:space="preserve">    </w:t>
    </w:r>
    <w:r>
      <w:rPr>
        <w:rFonts w:ascii="Arial" w:hAnsi="Arial" w:cs="Arial"/>
        <w:b/>
        <w:bCs/>
        <w:sz w:val="20"/>
      </w:rPr>
      <w:t>Tom C. Hui, S.E.</w:t>
    </w:r>
    <w:r w:rsidRPr="00605949">
      <w:rPr>
        <w:rFonts w:ascii="Arial" w:hAnsi="Arial" w:cs="Arial"/>
        <w:b/>
        <w:bCs/>
        <w:sz w:val="20"/>
      </w:rPr>
      <w:t>,</w:t>
    </w:r>
    <w:r>
      <w:rPr>
        <w:rFonts w:ascii="Arial" w:hAnsi="Arial" w:cs="Arial" w:hint="eastAsia"/>
        <w:b/>
        <w:bCs/>
        <w:sz w:val="20"/>
        <w:lang w:eastAsia="zh-TW"/>
      </w:rPr>
      <w:t xml:space="preserve"> C.B.O.,</w:t>
    </w:r>
    <w:r w:rsidRPr="00605949">
      <w:rPr>
        <w:rFonts w:ascii="Arial" w:hAnsi="Arial" w:cs="Arial"/>
        <w:b/>
        <w:bCs/>
        <w:sz w:val="20"/>
      </w:rPr>
      <w:t xml:space="preserve"> Director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6EC5"/>
    <w:multiLevelType w:val="hybridMultilevel"/>
    <w:tmpl w:val="58F89F5C"/>
    <w:lvl w:ilvl="0" w:tplc="CD62BEDC">
      <w:start w:val="202"/>
      <w:numFmt w:val="bullet"/>
      <w:lvlText w:val="-"/>
      <w:lvlJc w:val="left"/>
      <w:pPr>
        <w:ind w:left="3240" w:hanging="360"/>
      </w:pPr>
      <w:rPr>
        <w:rFonts w:ascii="Arial" w:eastAsiaTheme="minorEastAsia"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06826064"/>
    <w:multiLevelType w:val="hybridMultilevel"/>
    <w:tmpl w:val="5492DB2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09E71631"/>
    <w:multiLevelType w:val="hybridMultilevel"/>
    <w:tmpl w:val="0C7A0AA6"/>
    <w:lvl w:ilvl="0" w:tplc="CD62BEDC">
      <w:start w:val="2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10BBC"/>
    <w:multiLevelType w:val="hybridMultilevel"/>
    <w:tmpl w:val="BD7AA8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2267C8"/>
    <w:multiLevelType w:val="hybridMultilevel"/>
    <w:tmpl w:val="CF0462F8"/>
    <w:lvl w:ilvl="0" w:tplc="F37463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D70CBB"/>
    <w:multiLevelType w:val="hybridMultilevel"/>
    <w:tmpl w:val="D662EB74"/>
    <w:lvl w:ilvl="0" w:tplc="6C5EF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13BB0"/>
    <w:multiLevelType w:val="hybridMultilevel"/>
    <w:tmpl w:val="45286FAE"/>
    <w:lvl w:ilvl="0" w:tplc="F22C2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54C2D50"/>
    <w:multiLevelType w:val="hybridMultilevel"/>
    <w:tmpl w:val="32B8155A"/>
    <w:lvl w:ilvl="0" w:tplc="04090005">
      <w:start w:val="1"/>
      <w:numFmt w:val="bullet"/>
      <w:lvlText w:val=""/>
      <w:lvlJc w:val="left"/>
      <w:pPr>
        <w:tabs>
          <w:tab w:val="num" w:pos="1169"/>
        </w:tabs>
        <w:ind w:left="1169" w:hanging="360"/>
      </w:pPr>
      <w:rPr>
        <w:rFonts w:ascii="Wingdings" w:hAnsi="Wingdings" w:hint="default"/>
      </w:rPr>
    </w:lvl>
    <w:lvl w:ilvl="1" w:tplc="04090003" w:tentative="1">
      <w:start w:val="1"/>
      <w:numFmt w:val="bullet"/>
      <w:lvlText w:val="o"/>
      <w:lvlJc w:val="left"/>
      <w:pPr>
        <w:tabs>
          <w:tab w:val="num" w:pos="1889"/>
        </w:tabs>
        <w:ind w:left="1889" w:hanging="360"/>
      </w:pPr>
      <w:rPr>
        <w:rFonts w:ascii="Courier New" w:hAnsi="Courier New" w:hint="default"/>
      </w:rPr>
    </w:lvl>
    <w:lvl w:ilvl="2" w:tplc="04090005" w:tentative="1">
      <w:start w:val="1"/>
      <w:numFmt w:val="bullet"/>
      <w:lvlText w:val=""/>
      <w:lvlJc w:val="left"/>
      <w:pPr>
        <w:tabs>
          <w:tab w:val="num" w:pos="2609"/>
        </w:tabs>
        <w:ind w:left="2609" w:hanging="360"/>
      </w:pPr>
      <w:rPr>
        <w:rFonts w:ascii="Wingdings" w:hAnsi="Wingdings" w:hint="default"/>
      </w:rPr>
    </w:lvl>
    <w:lvl w:ilvl="3" w:tplc="04090001" w:tentative="1">
      <w:start w:val="1"/>
      <w:numFmt w:val="bullet"/>
      <w:lvlText w:val=""/>
      <w:lvlJc w:val="left"/>
      <w:pPr>
        <w:tabs>
          <w:tab w:val="num" w:pos="3329"/>
        </w:tabs>
        <w:ind w:left="3329" w:hanging="360"/>
      </w:pPr>
      <w:rPr>
        <w:rFonts w:ascii="Symbol" w:hAnsi="Symbol" w:hint="default"/>
      </w:rPr>
    </w:lvl>
    <w:lvl w:ilvl="4" w:tplc="04090003" w:tentative="1">
      <w:start w:val="1"/>
      <w:numFmt w:val="bullet"/>
      <w:lvlText w:val="o"/>
      <w:lvlJc w:val="left"/>
      <w:pPr>
        <w:tabs>
          <w:tab w:val="num" w:pos="4049"/>
        </w:tabs>
        <w:ind w:left="4049" w:hanging="360"/>
      </w:pPr>
      <w:rPr>
        <w:rFonts w:ascii="Courier New" w:hAnsi="Courier New" w:hint="default"/>
      </w:rPr>
    </w:lvl>
    <w:lvl w:ilvl="5" w:tplc="04090005" w:tentative="1">
      <w:start w:val="1"/>
      <w:numFmt w:val="bullet"/>
      <w:lvlText w:val=""/>
      <w:lvlJc w:val="left"/>
      <w:pPr>
        <w:tabs>
          <w:tab w:val="num" w:pos="4769"/>
        </w:tabs>
        <w:ind w:left="4769" w:hanging="360"/>
      </w:pPr>
      <w:rPr>
        <w:rFonts w:ascii="Wingdings" w:hAnsi="Wingdings" w:hint="default"/>
      </w:rPr>
    </w:lvl>
    <w:lvl w:ilvl="6" w:tplc="04090001" w:tentative="1">
      <w:start w:val="1"/>
      <w:numFmt w:val="bullet"/>
      <w:lvlText w:val=""/>
      <w:lvlJc w:val="left"/>
      <w:pPr>
        <w:tabs>
          <w:tab w:val="num" w:pos="5489"/>
        </w:tabs>
        <w:ind w:left="5489" w:hanging="360"/>
      </w:pPr>
      <w:rPr>
        <w:rFonts w:ascii="Symbol" w:hAnsi="Symbol" w:hint="default"/>
      </w:rPr>
    </w:lvl>
    <w:lvl w:ilvl="7" w:tplc="04090003" w:tentative="1">
      <w:start w:val="1"/>
      <w:numFmt w:val="bullet"/>
      <w:lvlText w:val="o"/>
      <w:lvlJc w:val="left"/>
      <w:pPr>
        <w:tabs>
          <w:tab w:val="num" w:pos="6209"/>
        </w:tabs>
        <w:ind w:left="6209" w:hanging="360"/>
      </w:pPr>
      <w:rPr>
        <w:rFonts w:ascii="Courier New" w:hAnsi="Courier New" w:hint="default"/>
      </w:rPr>
    </w:lvl>
    <w:lvl w:ilvl="8" w:tplc="04090005" w:tentative="1">
      <w:start w:val="1"/>
      <w:numFmt w:val="bullet"/>
      <w:lvlText w:val=""/>
      <w:lvlJc w:val="left"/>
      <w:pPr>
        <w:tabs>
          <w:tab w:val="num" w:pos="6929"/>
        </w:tabs>
        <w:ind w:left="6929" w:hanging="360"/>
      </w:pPr>
      <w:rPr>
        <w:rFonts w:ascii="Wingdings" w:hAnsi="Wingdings" w:hint="default"/>
      </w:rPr>
    </w:lvl>
  </w:abstractNum>
  <w:abstractNum w:abstractNumId="8" w15:restartNumberingAfterBreak="0">
    <w:nsid w:val="214179DA"/>
    <w:multiLevelType w:val="hybridMultilevel"/>
    <w:tmpl w:val="0220F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0344BD"/>
    <w:multiLevelType w:val="hybridMultilevel"/>
    <w:tmpl w:val="9C32AB14"/>
    <w:lvl w:ilvl="0" w:tplc="CD62BEDC">
      <w:start w:val="202"/>
      <w:numFmt w:val="bullet"/>
      <w:lvlText w:val="-"/>
      <w:lvlJc w:val="left"/>
      <w:pPr>
        <w:ind w:left="1530" w:hanging="360"/>
      </w:pPr>
      <w:rPr>
        <w:rFonts w:ascii="Arial" w:eastAsiaTheme="minorEastAsia" w:hAnsi="Arial" w:cs="Aria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25AE41D2"/>
    <w:multiLevelType w:val="hybridMultilevel"/>
    <w:tmpl w:val="6A92F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4E54EA"/>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E41B5E"/>
    <w:multiLevelType w:val="hybridMultilevel"/>
    <w:tmpl w:val="FDA6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857D9"/>
    <w:multiLevelType w:val="hybridMultilevel"/>
    <w:tmpl w:val="977E4E0E"/>
    <w:lvl w:ilvl="0" w:tplc="5A248122">
      <w:numFmt w:val="bullet"/>
      <w:lvlText w:val="-"/>
      <w:lvlJc w:val="left"/>
      <w:pPr>
        <w:ind w:left="2745" w:hanging="360"/>
      </w:pPr>
      <w:rPr>
        <w:rFonts w:ascii="Arial" w:eastAsiaTheme="minorEastAsia" w:hAnsi="Arial" w:cs="Arial" w:hint="default"/>
        <w:b/>
      </w:rPr>
    </w:lvl>
    <w:lvl w:ilvl="1" w:tplc="04090003">
      <w:start w:val="1"/>
      <w:numFmt w:val="bullet"/>
      <w:lvlText w:val="o"/>
      <w:lvlJc w:val="left"/>
      <w:pPr>
        <w:ind w:left="3465" w:hanging="360"/>
      </w:pPr>
      <w:rPr>
        <w:rFonts w:ascii="Courier New" w:hAnsi="Courier New" w:cs="Courier New" w:hint="default"/>
      </w:rPr>
    </w:lvl>
    <w:lvl w:ilvl="2" w:tplc="04090005" w:tentative="1">
      <w:start w:val="1"/>
      <w:numFmt w:val="bullet"/>
      <w:lvlText w:val=""/>
      <w:lvlJc w:val="left"/>
      <w:pPr>
        <w:ind w:left="4185" w:hanging="360"/>
      </w:pPr>
      <w:rPr>
        <w:rFonts w:ascii="Wingdings" w:hAnsi="Wingdings" w:hint="default"/>
      </w:rPr>
    </w:lvl>
    <w:lvl w:ilvl="3" w:tplc="04090001" w:tentative="1">
      <w:start w:val="1"/>
      <w:numFmt w:val="bullet"/>
      <w:lvlText w:val=""/>
      <w:lvlJc w:val="left"/>
      <w:pPr>
        <w:ind w:left="4905" w:hanging="360"/>
      </w:pPr>
      <w:rPr>
        <w:rFonts w:ascii="Symbol" w:hAnsi="Symbol" w:hint="default"/>
      </w:rPr>
    </w:lvl>
    <w:lvl w:ilvl="4" w:tplc="04090003" w:tentative="1">
      <w:start w:val="1"/>
      <w:numFmt w:val="bullet"/>
      <w:lvlText w:val="o"/>
      <w:lvlJc w:val="left"/>
      <w:pPr>
        <w:ind w:left="5625" w:hanging="360"/>
      </w:pPr>
      <w:rPr>
        <w:rFonts w:ascii="Courier New" w:hAnsi="Courier New" w:cs="Courier New" w:hint="default"/>
      </w:rPr>
    </w:lvl>
    <w:lvl w:ilvl="5" w:tplc="04090005" w:tentative="1">
      <w:start w:val="1"/>
      <w:numFmt w:val="bullet"/>
      <w:lvlText w:val=""/>
      <w:lvlJc w:val="left"/>
      <w:pPr>
        <w:ind w:left="6345" w:hanging="360"/>
      </w:pPr>
      <w:rPr>
        <w:rFonts w:ascii="Wingdings" w:hAnsi="Wingdings" w:hint="default"/>
      </w:rPr>
    </w:lvl>
    <w:lvl w:ilvl="6" w:tplc="04090001" w:tentative="1">
      <w:start w:val="1"/>
      <w:numFmt w:val="bullet"/>
      <w:lvlText w:val=""/>
      <w:lvlJc w:val="left"/>
      <w:pPr>
        <w:ind w:left="7065" w:hanging="360"/>
      </w:pPr>
      <w:rPr>
        <w:rFonts w:ascii="Symbol" w:hAnsi="Symbol" w:hint="default"/>
      </w:rPr>
    </w:lvl>
    <w:lvl w:ilvl="7" w:tplc="04090003" w:tentative="1">
      <w:start w:val="1"/>
      <w:numFmt w:val="bullet"/>
      <w:lvlText w:val="o"/>
      <w:lvlJc w:val="left"/>
      <w:pPr>
        <w:ind w:left="7785" w:hanging="360"/>
      </w:pPr>
      <w:rPr>
        <w:rFonts w:ascii="Courier New" w:hAnsi="Courier New" w:cs="Courier New" w:hint="default"/>
      </w:rPr>
    </w:lvl>
    <w:lvl w:ilvl="8" w:tplc="04090005" w:tentative="1">
      <w:start w:val="1"/>
      <w:numFmt w:val="bullet"/>
      <w:lvlText w:val=""/>
      <w:lvlJc w:val="left"/>
      <w:pPr>
        <w:ind w:left="8505" w:hanging="360"/>
      </w:pPr>
      <w:rPr>
        <w:rFonts w:ascii="Wingdings" w:hAnsi="Wingdings" w:hint="default"/>
      </w:rPr>
    </w:lvl>
  </w:abstractNum>
  <w:abstractNum w:abstractNumId="14" w15:restartNumberingAfterBreak="0">
    <w:nsid w:val="36D37752"/>
    <w:multiLevelType w:val="hybridMultilevel"/>
    <w:tmpl w:val="F496AC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4452343F"/>
    <w:multiLevelType w:val="hybridMultilevel"/>
    <w:tmpl w:val="3EFEE0B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71835FC"/>
    <w:multiLevelType w:val="hybridMultilevel"/>
    <w:tmpl w:val="68A641A6"/>
    <w:lvl w:ilvl="0" w:tplc="74545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7C7584"/>
    <w:multiLevelType w:val="hybridMultilevel"/>
    <w:tmpl w:val="504E22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3B0D93"/>
    <w:multiLevelType w:val="hybridMultilevel"/>
    <w:tmpl w:val="E15AF8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DD241F7"/>
    <w:multiLevelType w:val="hybridMultilevel"/>
    <w:tmpl w:val="898C308A"/>
    <w:lvl w:ilvl="0" w:tplc="CD62BEDC">
      <w:start w:val="202"/>
      <w:numFmt w:val="bullet"/>
      <w:lvlText w:val="-"/>
      <w:lvlJc w:val="left"/>
      <w:pPr>
        <w:ind w:left="3240" w:hanging="360"/>
      </w:pPr>
      <w:rPr>
        <w:rFonts w:ascii="Arial" w:eastAsiaTheme="minorEastAsia" w:hAnsi="Arial" w:cs="Aria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4EB12CA6"/>
    <w:multiLevelType w:val="hybridMultilevel"/>
    <w:tmpl w:val="48D6A736"/>
    <w:lvl w:ilvl="0" w:tplc="CD62BEDC">
      <w:start w:val="202"/>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ED14504"/>
    <w:multiLevelType w:val="hybridMultilevel"/>
    <w:tmpl w:val="9B823CE2"/>
    <w:lvl w:ilvl="0" w:tplc="3AE486B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BD3C6B"/>
    <w:multiLevelType w:val="hybridMultilevel"/>
    <w:tmpl w:val="3E8ABEFA"/>
    <w:lvl w:ilvl="0" w:tplc="8BBC0E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26722"/>
    <w:multiLevelType w:val="hybridMultilevel"/>
    <w:tmpl w:val="05980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2E0DB1"/>
    <w:multiLevelType w:val="hybridMultilevel"/>
    <w:tmpl w:val="01B24530"/>
    <w:lvl w:ilvl="0" w:tplc="4B207A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B12F31"/>
    <w:multiLevelType w:val="hybridMultilevel"/>
    <w:tmpl w:val="0E4A7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3"/>
  </w:num>
  <w:num w:numId="4">
    <w:abstractNumId w:val="1"/>
  </w:num>
  <w:num w:numId="5">
    <w:abstractNumId w:val="15"/>
  </w:num>
  <w:num w:numId="6">
    <w:abstractNumId w:val="23"/>
  </w:num>
  <w:num w:numId="7">
    <w:abstractNumId w:val="16"/>
  </w:num>
  <w:num w:numId="8">
    <w:abstractNumId w:val="25"/>
  </w:num>
  <w:num w:numId="9">
    <w:abstractNumId w:val="10"/>
  </w:num>
  <w:num w:numId="10">
    <w:abstractNumId w:val="21"/>
  </w:num>
  <w:num w:numId="11">
    <w:abstractNumId w:val="12"/>
  </w:num>
  <w:num w:numId="12">
    <w:abstractNumId w:val="5"/>
  </w:num>
  <w:num w:numId="13">
    <w:abstractNumId w:val="22"/>
  </w:num>
  <w:num w:numId="14">
    <w:abstractNumId w:val="11"/>
  </w:num>
  <w:num w:numId="15">
    <w:abstractNumId w:val="6"/>
  </w:num>
  <w:num w:numId="16">
    <w:abstractNumId w:val="24"/>
  </w:num>
  <w:num w:numId="17">
    <w:abstractNumId w:val="4"/>
  </w:num>
  <w:num w:numId="18">
    <w:abstractNumId w:val="13"/>
  </w:num>
  <w:num w:numId="19">
    <w:abstractNumId w:val="17"/>
  </w:num>
  <w:num w:numId="20">
    <w:abstractNumId w:val="19"/>
  </w:num>
  <w:num w:numId="21">
    <w:abstractNumId w:val="14"/>
  </w:num>
  <w:num w:numId="22">
    <w:abstractNumId w:val="0"/>
  </w:num>
  <w:num w:numId="23">
    <w:abstractNumId w:val="9"/>
  </w:num>
  <w:num w:numId="24">
    <w:abstractNumId w:val="8"/>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j2kphR6CWX78bfgHqFY3dbsaEw7cLAKUD6Q93oxvQ99Am8YOOcDR0MgAyRacp2afFVw3TCi1inJX8y+BZ8zIg==" w:salt="n+2396x78gDgPPdtWFhej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11"/>
    <w:rsid w:val="0000494D"/>
    <w:rsid w:val="00005449"/>
    <w:rsid w:val="00006B49"/>
    <w:rsid w:val="0002239B"/>
    <w:rsid w:val="00026374"/>
    <w:rsid w:val="0003313A"/>
    <w:rsid w:val="000376DB"/>
    <w:rsid w:val="00045433"/>
    <w:rsid w:val="00045CA3"/>
    <w:rsid w:val="00047445"/>
    <w:rsid w:val="000527C6"/>
    <w:rsid w:val="0006095A"/>
    <w:rsid w:val="00065FFC"/>
    <w:rsid w:val="00074227"/>
    <w:rsid w:val="000904B6"/>
    <w:rsid w:val="00094905"/>
    <w:rsid w:val="000A7916"/>
    <w:rsid w:val="000B00A1"/>
    <w:rsid w:val="000B19C6"/>
    <w:rsid w:val="000B312B"/>
    <w:rsid w:val="000B7C07"/>
    <w:rsid w:val="000C2DCA"/>
    <w:rsid w:val="000D0433"/>
    <w:rsid w:val="000D0A87"/>
    <w:rsid w:val="000E1E67"/>
    <w:rsid w:val="000E7DD9"/>
    <w:rsid w:val="00101C14"/>
    <w:rsid w:val="00103E3D"/>
    <w:rsid w:val="001045AC"/>
    <w:rsid w:val="00110F1A"/>
    <w:rsid w:val="00116EC4"/>
    <w:rsid w:val="00121F01"/>
    <w:rsid w:val="00130894"/>
    <w:rsid w:val="00133E9A"/>
    <w:rsid w:val="00140DDE"/>
    <w:rsid w:val="001445D6"/>
    <w:rsid w:val="001502FA"/>
    <w:rsid w:val="0015685D"/>
    <w:rsid w:val="0016223D"/>
    <w:rsid w:val="001635EF"/>
    <w:rsid w:val="00164F78"/>
    <w:rsid w:val="0018514E"/>
    <w:rsid w:val="001861C5"/>
    <w:rsid w:val="00187A93"/>
    <w:rsid w:val="00192B50"/>
    <w:rsid w:val="00194AF1"/>
    <w:rsid w:val="001A784F"/>
    <w:rsid w:val="001B09CD"/>
    <w:rsid w:val="001B1322"/>
    <w:rsid w:val="001B1B08"/>
    <w:rsid w:val="001B4C8A"/>
    <w:rsid w:val="001D1C13"/>
    <w:rsid w:val="001D3862"/>
    <w:rsid w:val="001D5A2C"/>
    <w:rsid w:val="001F423D"/>
    <w:rsid w:val="001F75FA"/>
    <w:rsid w:val="00203A2A"/>
    <w:rsid w:val="00206D79"/>
    <w:rsid w:val="00210844"/>
    <w:rsid w:val="002151EB"/>
    <w:rsid w:val="00235364"/>
    <w:rsid w:val="00253BFB"/>
    <w:rsid w:val="00256B00"/>
    <w:rsid w:val="00276AA6"/>
    <w:rsid w:val="00276C89"/>
    <w:rsid w:val="00281238"/>
    <w:rsid w:val="00285C35"/>
    <w:rsid w:val="00286801"/>
    <w:rsid w:val="00297FE6"/>
    <w:rsid w:val="002B290A"/>
    <w:rsid w:val="002B6458"/>
    <w:rsid w:val="002C1969"/>
    <w:rsid w:val="002D69A4"/>
    <w:rsid w:val="002E4F04"/>
    <w:rsid w:val="002F294E"/>
    <w:rsid w:val="002F43C5"/>
    <w:rsid w:val="00302B0D"/>
    <w:rsid w:val="0030532B"/>
    <w:rsid w:val="0031303A"/>
    <w:rsid w:val="003134F5"/>
    <w:rsid w:val="00317298"/>
    <w:rsid w:val="0033357C"/>
    <w:rsid w:val="0033752B"/>
    <w:rsid w:val="003400C7"/>
    <w:rsid w:val="00343AC9"/>
    <w:rsid w:val="00344281"/>
    <w:rsid w:val="003474D3"/>
    <w:rsid w:val="00362AF5"/>
    <w:rsid w:val="00364314"/>
    <w:rsid w:val="00370B17"/>
    <w:rsid w:val="00372028"/>
    <w:rsid w:val="003731BC"/>
    <w:rsid w:val="00375A1F"/>
    <w:rsid w:val="00375BDF"/>
    <w:rsid w:val="00382FAF"/>
    <w:rsid w:val="00383A9E"/>
    <w:rsid w:val="00385C82"/>
    <w:rsid w:val="00386B61"/>
    <w:rsid w:val="00393DDC"/>
    <w:rsid w:val="0039456A"/>
    <w:rsid w:val="003A02A5"/>
    <w:rsid w:val="003A085D"/>
    <w:rsid w:val="003A1469"/>
    <w:rsid w:val="003B27DC"/>
    <w:rsid w:val="003B68BB"/>
    <w:rsid w:val="003C4186"/>
    <w:rsid w:val="003C5238"/>
    <w:rsid w:val="003D2971"/>
    <w:rsid w:val="003E16CF"/>
    <w:rsid w:val="003E2B02"/>
    <w:rsid w:val="003E34C0"/>
    <w:rsid w:val="003E452B"/>
    <w:rsid w:val="003F18FF"/>
    <w:rsid w:val="003F5028"/>
    <w:rsid w:val="003F5761"/>
    <w:rsid w:val="00401CB2"/>
    <w:rsid w:val="004039AA"/>
    <w:rsid w:val="00407CCA"/>
    <w:rsid w:val="00413739"/>
    <w:rsid w:val="00414AEA"/>
    <w:rsid w:val="0041608D"/>
    <w:rsid w:val="0041764B"/>
    <w:rsid w:val="004313F0"/>
    <w:rsid w:val="00453B8A"/>
    <w:rsid w:val="00463F74"/>
    <w:rsid w:val="00470C95"/>
    <w:rsid w:val="004719EF"/>
    <w:rsid w:val="004743D7"/>
    <w:rsid w:val="004824EC"/>
    <w:rsid w:val="004B05FD"/>
    <w:rsid w:val="004B0620"/>
    <w:rsid w:val="004C0D3B"/>
    <w:rsid w:val="004C1CAC"/>
    <w:rsid w:val="004D0007"/>
    <w:rsid w:val="004D41E5"/>
    <w:rsid w:val="004D45E8"/>
    <w:rsid w:val="004D6850"/>
    <w:rsid w:val="004E0488"/>
    <w:rsid w:val="004E1516"/>
    <w:rsid w:val="004E4778"/>
    <w:rsid w:val="004E4900"/>
    <w:rsid w:val="004E5DC5"/>
    <w:rsid w:val="004F08FB"/>
    <w:rsid w:val="004F0B71"/>
    <w:rsid w:val="004F297F"/>
    <w:rsid w:val="005035CC"/>
    <w:rsid w:val="00504EA0"/>
    <w:rsid w:val="00506382"/>
    <w:rsid w:val="005076F7"/>
    <w:rsid w:val="005163C0"/>
    <w:rsid w:val="0052503F"/>
    <w:rsid w:val="005301B0"/>
    <w:rsid w:val="005328E4"/>
    <w:rsid w:val="00544512"/>
    <w:rsid w:val="0054515E"/>
    <w:rsid w:val="00545EF9"/>
    <w:rsid w:val="00557E87"/>
    <w:rsid w:val="005643AE"/>
    <w:rsid w:val="00587463"/>
    <w:rsid w:val="00594D89"/>
    <w:rsid w:val="00597B89"/>
    <w:rsid w:val="005A20AA"/>
    <w:rsid w:val="005A44EE"/>
    <w:rsid w:val="005B043C"/>
    <w:rsid w:val="005B3E8A"/>
    <w:rsid w:val="005B400C"/>
    <w:rsid w:val="005C0214"/>
    <w:rsid w:val="005C0532"/>
    <w:rsid w:val="005C4E0B"/>
    <w:rsid w:val="005D28D1"/>
    <w:rsid w:val="005E2303"/>
    <w:rsid w:val="005E2852"/>
    <w:rsid w:val="005E300D"/>
    <w:rsid w:val="00605949"/>
    <w:rsid w:val="006061F0"/>
    <w:rsid w:val="00607DF2"/>
    <w:rsid w:val="00623A96"/>
    <w:rsid w:val="00637BF5"/>
    <w:rsid w:val="00642B8D"/>
    <w:rsid w:val="0064372F"/>
    <w:rsid w:val="00657611"/>
    <w:rsid w:val="00680F1E"/>
    <w:rsid w:val="00687365"/>
    <w:rsid w:val="00692B6B"/>
    <w:rsid w:val="006A13F6"/>
    <w:rsid w:val="006B589A"/>
    <w:rsid w:val="006B7505"/>
    <w:rsid w:val="006C4D54"/>
    <w:rsid w:val="006C73EC"/>
    <w:rsid w:val="006D33BB"/>
    <w:rsid w:val="006E46D7"/>
    <w:rsid w:val="006E560A"/>
    <w:rsid w:val="006F0569"/>
    <w:rsid w:val="006F66B6"/>
    <w:rsid w:val="00701B33"/>
    <w:rsid w:val="00712DFA"/>
    <w:rsid w:val="007130F0"/>
    <w:rsid w:val="00713F07"/>
    <w:rsid w:val="00714505"/>
    <w:rsid w:val="00723FEA"/>
    <w:rsid w:val="007477CF"/>
    <w:rsid w:val="00752B11"/>
    <w:rsid w:val="00757701"/>
    <w:rsid w:val="00762A98"/>
    <w:rsid w:val="00770893"/>
    <w:rsid w:val="00770C60"/>
    <w:rsid w:val="00781F27"/>
    <w:rsid w:val="00797856"/>
    <w:rsid w:val="007A0327"/>
    <w:rsid w:val="007A23CF"/>
    <w:rsid w:val="007A7444"/>
    <w:rsid w:val="007B1E0A"/>
    <w:rsid w:val="007C1F56"/>
    <w:rsid w:val="007C48AD"/>
    <w:rsid w:val="007C5E08"/>
    <w:rsid w:val="007D14BC"/>
    <w:rsid w:val="007D571E"/>
    <w:rsid w:val="007D596F"/>
    <w:rsid w:val="007D6057"/>
    <w:rsid w:val="007D634F"/>
    <w:rsid w:val="007E42AE"/>
    <w:rsid w:val="007E46CF"/>
    <w:rsid w:val="007E5FD3"/>
    <w:rsid w:val="007E64C4"/>
    <w:rsid w:val="007E7A27"/>
    <w:rsid w:val="007F0680"/>
    <w:rsid w:val="007F06E9"/>
    <w:rsid w:val="007F0756"/>
    <w:rsid w:val="007F25F0"/>
    <w:rsid w:val="007F4B22"/>
    <w:rsid w:val="008105AF"/>
    <w:rsid w:val="00815883"/>
    <w:rsid w:val="00817595"/>
    <w:rsid w:val="00840F6C"/>
    <w:rsid w:val="0084286D"/>
    <w:rsid w:val="008444E5"/>
    <w:rsid w:val="0085077C"/>
    <w:rsid w:val="00854F0C"/>
    <w:rsid w:val="00866FD3"/>
    <w:rsid w:val="00867925"/>
    <w:rsid w:val="00876378"/>
    <w:rsid w:val="0088184C"/>
    <w:rsid w:val="00891925"/>
    <w:rsid w:val="008955FC"/>
    <w:rsid w:val="008A008F"/>
    <w:rsid w:val="008A45A4"/>
    <w:rsid w:val="008A58CF"/>
    <w:rsid w:val="008B160B"/>
    <w:rsid w:val="008B37F7"/>
    <w:rsid w:val="008D56C9"/>
    <w:rsid w:val="008D5775"/>
    <w:rsid w:val="008E5645"/>
    <w:rsid w:val="008F43EA"/>
    <w:rsid w:val="0091401B"/>
    <w:rsid w:val="009151BE"/>
    <w:rsid w:val="00922FD3"/>
    <w:rsid w:val="00924521"/>
    <w:rsid w:val="00953EDE"/>
    <w:rsid w:val="00954647"/>
    <w:rsid w:val="009565EB"/>
    <w:rsid w:val="00957E5D"/>
    <w:rsid w:val="009626C4"/>
    <w:rsid w:val="009643E0"/>
    <w:rsid w:val="00980C5A"/>
    <w:rsid w:val="00980ECB"/>
    <w:rsid w:val="009820F4"/>
    <w:rsid w:val="00996FBC"/>
    <w:rsid w:val="009A60B2"/>
    <w:rsid w:val="009D037C"/>
    <w:rsid w:val="009D2243"/>
    <w:rsid w:val="009D635E"/>
    <w:rsid w:val="009F25C7"/>
    <w:rsid w:val="009F2F03"/>
    <w:rsid w:val="009F4320"/>
    <w:rsid w:val="00A07ECD"/>
    <w:rsid w:val="00A14955"/>
    <w:rsid w:val="00A20F5A"/>
    <w:rsid w:val="00A2522C"/>
    <w:rsid w:val="00A32D8B"/>
    <w:rsid w:val="00A35127"/>
    <w:rsid w:val="00A46535"/>
    <w:rsid w:val="00A46939"/>
    <w:rsid w:val="00A47171"/>
    <w:rsid w:val="00A57468"/>
    <w:rsid w:val="00A642B0"/>
    <w:rsid w:val="00A65C0D"/>
    <w:rsid w:val="00A71412"/>
    <w:rsid w:val="00A93121"/>
    <w:rsid w:val="00A95A9E"/>
    <w:rsid w:val="00A96814"/>
    <w:rsid w:val="00A9746D"/>
    <w:rsid w:val="00AA20F1"/>
    <w:rsid w:val="00AC3787"/>
    <w:rsid w:val="00AC7BD8"/>
    <w:rsid w:val="00AD3C76"/>
    <w:rsid w:val="00AE1927"/>
    <w:rsid w:val="00AE6850"/>
    <w:rsid w:val="00AF1CC6"/>
    <w:rsid w:val="00AF328E"/>
    <w:rsid w:val="00AF3C0C"/>
    <w:rsid w:val="00B034DB"/>
    <w:rsid w:val="00B1235C"/>
    <w:rsid w:val="00B13781"/>
    <w:rsid w:val="00B31883"/>
    <w:rsid w:val="00B50349"/>
    <w:rsid w:val="00B63569"/>
    <w:rsid w:val="00B637D6"/>
    <w:rsid w:val="00B74B90"/>
    <w:rsid w:val="00B778F1"/>
    <w:rsid w:val="00B807DC"/>
    <w:rsid w:val="00B857A7"/>
    <w:rsid w:val="00BA4461"/>
    <w:rsid w:val="00BB7190"/>
    <w:rsid w:val="00BC02B1"/>
    <w:rsid w:val="00BD6EF5"/>
    <w:rsid w:val="00BE14E2"/>
    <w:rsid w:val="00BF1EA1"/>
    <w:rsid w:val="00C01048"/>
    <w:rsid w:val="00C03318"/>
    <w:rsid w:val="00C105AF"/>
    <w:rsid w:val="00C217F3"/>
    <w:rsid w:val="00C21A3D"/>
    <w:rsid w:val="00C30D4D"/>
    <w:rsid w:val="00C44D43"/>
    <w:rsid w:val="00C47707"/>
    <w:rsid w:val="00C5565B"/>
    <w:rsid w:val="00C60A04"/>
    <w:rsid w:val="00C73D0F"/>
    <w:rsid w:val="00C7600C"/>
    <w:rsid w:val="00C8069A"/>
    <w:rsid w:val="00C944FE"/>
    <w:rsid w:val="00C945E6"/>
    <w:rsid w:val="00C956DB"/>
    <w:rsid w:val="00C977B3"/>
    <w:rsid w:val="00CA4E1B"/>
    <w:rsid w:val="00CB4883"/>
    <w:rsid w:val="00CB6411"/>
    <w:rsid w:val="00CD64AD"/>
    <w:rsid w:val="00CD704D"/>
    <w:rsid w:val="00CE334E"/>
    <w:rsid w:val="00CE4CE7"/>
    <w:rsid w:val="00CF2FE6"/>
    <w:rsid w:val="00CF6C2C"/>
    <w:rsid w:val="00D02723"/>
    <w:rsid w:val="00D037FF"/>
    <w:rsid w:val="00D07543"/>
    <w:rsid w:val="00D12718"/>
    <w:rsid w:val="00D244AD"/>
    <w:rsid w:val="00D31F5B"/>
    <w:rsid w:val="00D449AA"/>
    <w:rsid w:val="00D44D28"/>
    <w:rsid w:val="00D46AC0"/>
    <w:rsid w:val="00D57ADC"/>
    <w:rsid w:val="00D57B1E"/>
    <w:rsid w:val="00D7144B"/>
    <w:rsid w:val="00D754EC"/>
    <w:rsid w:val="00D7636F"/>
    <w:rsid w:val="00D80A3C"/>
    <w:rsid w:val="00D94626"/>
    <w:rsid w:val="00DA1A25"/>
    <w:rsid w:val="00DA3404"/>
    <w:rsid w:val="00DA6235"/>
    <w:rsid w:val="00DB1FD0"/>
    <w:rsid w:val="00DB240C"/>
    <w:rsid w:val="00DB708A"/>
    <w:rsid w:val="00DC66DD"/>
    <w:rsid w:val="00DD2080"/>
    <w:rsid w:val="00DD6EBF"/>
    <w:rsid w:val="00DF683E"/>
    <w:rsid w:val="00E008CA"/>
    <w:rsid w:val="00E11064"/>
    <w:rsid w:val="00E2038D"/>
    <w:rsid w:val="00E22E98"/>
    <w:rsid w:val="00E23F1E"/>
    <w:rsid w:val="00E264A6"/>
    <w:rsid w:val="00E27A3A"/>
    <w:rsid w:val="00E27C32"/>
    <w:rsid w:val="00E32DDB"/>
    <w:rsid w:val="00E33D12"/>
    <w:rsid w:val="00E41246"/>
    <w:rsid w:val="00E41584"/>
    <w:rsid w:val="00E55071"/>
    <w:rsid w:val="00E55EDB"/>
    <w:rsid w:val="00E5704E"/>
    <w:rsid w:val="00E83C1E"/>
    <w:rsid w:val="00E90BB1"/>
    <w:rsid w:val="00EB0748"/>
    <w:rsid w:val="00EB0E05"/>
    <w:rsid w:val="00EB1EAD"/>
    <w:rsid w:val="00EB2DB3"/>
    <w:rsid w:val="00EC06D8"/>
    <w:rsid w:val="00EC2773"/>
    <w:rsid w:val="00EC2C51"/>
    <w:rsid w:val="00ED635E"/>
    <w:rsid w:val="00EE0C3F"/>
    <w:rsid w:val="00EE28D6"/>
    <w:rsid w:val="00EE28D8"/>
    <w:rsid w:val="00EE7783"/>
    <w:rsid w:val="00F0051D"/>
    <w:rsid w:val="00F11440"/>
    <w:rsid w:val="00F16937"/>
    <w:rsid w:val="00F22FAD"/>
    <w:rsid w:val="00F26BA5"/>
    <w:rsid w:val="00F31EF2"/>
    <w:rsid w:val="00F354EF"/>
    <w:rsid w:val="00F35D5E"/>
    <w:rsid w:val="00F40F14"/>
    <w:rsid w:val="00F44840"/>
    <w:rsid w:val="00F52647"/>
    <w:rsid w:val="00F55651"/>
    <w:rsid w:val="00F56FD4"/>
    <w:rsid w:val="00F66A7A"/>
    <w:rsid w:val="00F70A4C"/>
    <w:rsid w:val="00F75E75"/>
    <w:rsid w:val="00F826B1"/>
    <w:rsid w:val="00F91A8F"/>
    <w:rsid w:val="00FB60C0"/>
    <w:rsid w:val="00FC2A8C"/>
    <w:rsid w:val="00FD0983"/>
    <w:rsid w:val="00FD291F"/>
    <w:rsid w:val="00FE37CD"/>
    <w:rsid w:val="00FE504F"/>
    <w:rsid w:val="00FF111A"/>
    <w:rsid w:val="00FF3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EC82A7A"/>
  <w15:docId w15:val="{7EFFE3B1-DA3B-4B5C-9172-11118494F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FD3"/>
    <w:pPr>
      <w:widowControl w:val="0"/>
      <w:autoSpaceDE w:val="0"/>
      <w:autoSpaceDN w:val="0"/>
      <w:adjustRightInd w:val="0"/>
    </w:pPr>
    <w:rPr>
      <w:rFonts w:ascii="Courier" w:hAnsi="Courier"/>
      <w:sz w:val="24"/>
      <w:szCs w:val="24"/>
    </w:rPr>
  </w:style>
  <w:style w:type="paragraph" w:styleId="Heading1">
    <w:name w:val="heading 1"/>
    <w:basedOn w:val="Normal"/>
    <w:next w:val="Normal"/>
    <w:qFormat/>
    <w:rsid w:val="00922FD3"/>
    <w:pPr>
      <w:keepNext/>
      <w:jc w:val="center"/>
      <w:outlineLvl w:val="0"/>
    </w:pPr>
    <w:rPr>
      <w:rFonts w:ascii="Arial" w:hAnsi="Arial" w:cs="Arial"/>
      <w:b/>
      <w:bCs/>
      <w:sz w:val="36"/>
      <w:szCs w:val="36"/>
      <w:u w:val="single"/>
    </w:rPr>
  </w:style>
  <w:style w:type="paragraph" w:styleId="Heading2">
    <w:name w:val="heading 2"/>
    <w:basedOn w:val="Normal"/>
    <w:next w:val="Normal"/>
    <w:qFormat/>
    <w:rsid w:val="00922FD3"/>
    <w:pPr>
      <w:keepNext/>
      <w:tabs>
        <w:tab w:val="left" w:pos="-720"/>
        <w:tab w:val="left" w:pos="1656"/>
        <w:tab w:val="right" w:pos="10200"/>
      </w:tabs>
      <w:ind w:firstLine="1260"/>
      <w:outlineLvl w:val="1"/>
    </w:pPr>
    <w:rPr>
      <w:rFonts w:ascii="Times New Roman" w:hAnsi="Times New Roman"/>
      <w:b/>
      <w:bCs/>
      <w:sz w:val="28"/>
      <w:szCs w:val="28"/>
    </w:rPr>
  </w:style>
  <w:style w:type="paragraph" w:styleId="Heading3">
    <w:name w:val="heading 3"/>
    <w:basedOn w:val="Normal"/>
    <w:next w:val="Normal"/>
    <w:qFormat/>
    <w:rsid w:val="00922FD3"/>
    <w:pPr>
      <w:keepNext/>
      <w:tabs>
        <w:tab w:val="left" w:pos="-720"/>
        <w:tab w:val="left" w:pos="1656"/>
        <w:tab w:val="right" w:pos="10200"/>
      </w:tabs>
      <w:ind w:firstLine="1260"/>
      <w:outlineLvl w:val="2"/>
    </w:pPr>
    <w:rPr>
      <w:rFonts w:ascii="Times New Roman" w:hAnsi="Times New Roman"/>
      <w:b/>
      <w:bCs/>
      <w:sz w:val="26"/>
      <w:szCs w:val="26"/>
    </w:rPr>
  </w:style>
  <w:style w:type="paragraph" w:styleId="Heading4">
    <w:name w:val="heading 4"/>
    <w:basedOn w:val="Normal"/>
    <w:next w:val="Normal"/>
    <w:qFormat/>
    <w:rsid w:val="00922FD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3"/>
    </w:pPr>
    <w:rPr>
      <w:rFonts w:ascii="Times New Roman" w:hAnsi="Times New Roman"/>
      <w:b/>
      <w:bCs/>
      <w:sz w:val="28"/>
      <w:szCs w:val="28"/>
    </w:rPr>
  </w:style>
  <w:style w:type="paragraph" w:styleId="Heading5">
    <w:name w:val="heading 5"/>
    <w:basedOn w:val="Normal"/>
    <w:next w:val="Normal"/>
    <w:qFormat/>
    <w:rsid w:val="00922FD3"/>
    <w:pPr>
      <w:keepNext/>
      <w:jc w:val="center"/>
      <w:outlineLvl w:val="4"/>
    </w:pPr>
    <w:rPr>
      <w:rFonts w:ascii="Times New Roman" w:hAnsi="Times New Roman"/>
      <w:i/>
      <w:iCs/>
    </w:rPr>
  </w:style>
  <w:style w:type="paragraph" w:styleId="Heading6">
    <w:name w:val="heading 6"/>
    <w:basedOn w:val="Normal"/>
    <w:next w:val="Normal"/>
    <w:qFormat/>
    <w:rsid w:val="00922FD3"/>
    <w:pPr>
      <w:keepNext/>
      <w:tabs>
        <w:tab w:val="left" w:pos="360"/>
        <w:tab w:val="left" w:pos="540"/>
        <w:tab w:val="left" w:pos="1260"/>
        <w:tab w:val="left" w:pos="1980"/>
        <w:tab w:val="left" w:pos="2880"/>
        <w:tab w:val="left" w:pos="3420"/>
        <w:tab w:val="left" w:pos="4140"/>
        <w:tab w:val="left" w:pos="4860"/>
        <w:tab w:val="left" w:pos="5580"/>
        <w:tab w:val="left" w:pos="6300"/>
        <w:tab w:val="left" w:pos="7020"/>
        <w:tab w:val="left" w:pos="7740"/>
        <w:tab w:val="left" w:pos="8460"/>
        <w:tab w:val="left" w:pos="9180"/>
        <w:tab w:val="left" w:pos="9900"/>
        <w:tab w:val="left" w:pos="10620"/>
      </w:tabs>
      <w:ind w:left="540" w:right="540" w:firstLine="2340"/>
      <w:jc w:val="center"/>
      <w:outlineLvl w:val="5"/>
    </w:pPr>
    <w:rPr>
      <w:rFonts w:ascii="Times New Roman" w:hAnsi="Times New Roman"/>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22FD3"/>
  </w:style>
  <w:style w:type="paragraph" w:styleId="Header">
    <w:name w:val="header"/>
    <w:basedOn w:val="Normal"/>
    <w:rsid w:val="00922FD3"/>
    <w:pPr>
      <w:tabs>
        <w:tab w:val="center" w:pos="4320"/>
        <w:tab w:val="right" w:pos="8640"/>
      </w:tabs>
    </w:pPr>
  </w:style>
  <w:style w:type="paragraph" w:styleId="Footer">
    <w:name w:val="footer"/>
    <w:basedOn w:val="Normal"/>
    <w:link w:val="FooterChar"/>
    <w:uiPriority w:val="99"/>
    <w:rsid w:val="00922FD3"/>
    <w:pPr>
      <w:tabs>
        <w:tab w:val="center" w:pos="4320"/>
        <w:tab w:val="right" w:pos="8640"/>
      </w:tabs>
    </w:pPr>
  </w:style>
  <w:style w:type="paragraph" w:styleId="Caption">
    <w:name w:val="caption"/>
    <w:basedOn w:val="Normal"/>
    <w:next w:val="Normal"/>
    <w:qFormat/>
    <w:rsid w:val="00922FD3"/>
    <w:pPr>
      <w:jc w:val="center"/>
    </w:pPr>
    <w:rPr>
      <w:rFonts w:ascii="Times New Roman" w:hAnsi="Times New Roman"/>
      <w:b/>
      <w:bCs/>
      <w:sz w:val="20"/>
    </w:rPr>
  </w:style>
  <w:style w:type="paragraph" w:styleId="BodyText">
    <w:name w:val="Body Text"/>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rFonts w:ascii="Times New Roman" w:hAnsi="Times New Roman"/>
    </w:rPr>
  </w:style>
  <w:style w:type="paragraph" w:styleId="BodyText2">
    <w:name w:val="Body Text 2"/>
    <w:basedOn w:val="Normal"/>
    <w:rsid w:val="00922F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Times New Roman" w:hAnsi="Times New Roman"/>
    </w:rPr>
  </w:style>
  <w:style w:type="character" w:styleId="Hyperlink">
    <w:name w:val="Hyperlink"/>
    <w:basedOn w:val="DefaultParagraphFont"/>
    <w:rsid w:val="00922FD3"/>
    <w:rPr>
      <w:color w:val="0000FF"/>
      <w:u w:val="single"/>
    </w:rPr>
  </w:style>
  <w:style w:type="character" w:styleId="PageNumber">
    <w:name w:val="page number"/>
    <w:basedOn w:val="DefaultParagraphFont"/>
    <w:rsid w:val="00922FD3"/>
  </w:style>
  <w:style w:type="paragraph" w:styleId="Title">
    <w:name w:val="Title"/>
    <w:basedOn w:val="Normal"/>
    <w:link w:val="TitleChar"/>
    <w:qFormat/>
    <w:rsid w:val="00CB6411"/>
    <w:pPr>
      <w:jc w:val="center"/>
    </w:pPr>
    <w:rPr>
      <w:rFonts w:ascii="Times New Roman" w:hAnsi="Times New Roman"/>
      <w:b/>
      <w:bCs/>
      <w:szCs w:val="28"/>
    </w:rPr>
  </w:style>
  <w:style w:type="paragraph" w:styleId="BalloonText">
    <w:name w:val="Balloon Text"/>
    <w:basedOn w:val="Normal"/>
    <w:semiHidden/>
    <w:rsid w:val="00D12718"/>
    <w:rPr>
      <w:rFonts w:ascii="Tahoma" w:hAnsi="Tahoma" w:cs="Tahoma"/>
      <w:sz w:val="16"/>
      <w:szCs w:val="16"/>
    </w:rPr>
  </w:style>
  <w:style w:type="character" w:customStyle="1" w:styleId="FooterChar">
    <w:name w:val="Footer Char"/>
    <w:basedOn w:val="DefaultParagraphFont"/>
    <w:link w:val="Footer"/>
    <w:uiPriority w:val="99"/>
    <w:rsid w:val="00605949"/>
    <w:rPr>
      <w:rFonts w:ascii="Courier" w:hAnsi="Courier"/>
      <w:sz w:val="24"/>
      <w:szCs w:val="24"/>
    </w:rPr>
  </w:style>
  <w:style w:type="paragraph" w:styleId="ListParagraph">
    <w:name w:val="List Paragraph"/>
    <w:basedOn w:val="Normal"/>
    <w:uiPriority w:val="34"/>
    <w:qFormat/>
    <w:rsid w:val="001045AC"/>
    <w:pPr>
      <w:ind w:left="720"/>
    </w:pPr>
  </w:style>
  <w:style w:type="paragraph" w:styleId="HTMLPreformatted">
    <w:name w:val="HTML Preformatted"/>
    <w:basedOn w:val="Normal"/>
    <w:link w:val="HTMLPreformattedChar"/>
    <w:uiPriority w:val="99"/>
    <w:unhideWhenUsed/>
    <w:rsid w:val="00BF1E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EA1"/>
    <w:rPr>
      <w:rFonts w:ascii="Courier New" w:hAnsi="Courier New" w:cs="Courier New"/>
    </w:rPr>
  </w:style>
  <w:style w:type="character" w:customStyle="1" w:styleId="TitleChar">
    <w:name w:val="Title Char"/>
    <w:basedOn w:val="DefaultParagraphFont"/>
    <w:link w:val="Title"/>
    <w:rsid w:val="000527C6"/>
    <w:rPr>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0497">
      <w:bodyDiv w:val="1"/>
      <w:marLeft w:val="0"/>
      <w:marRight w:val="0"/>
      <w:marTop w:val="0"/>
      <w:marBottom w:val="0"/>
      <w:divBdr>
        <w:top w:val="none" w:sz="0" w:space="0" w:color="auto"/>
        <w:left w:val="none" w:sz="0" w:space="0" w:color="auto"/>
        <w:bottom w:val="none" w:sz="0" w:space="0" w:color="auto"/>
        <w:right w:val="none" w:sz="0" w:space="0" w:color="auto"/>
      </w:divBdr>
    </w:div>
    <w:div w:id="454524792">
      <w:bodyDiv w:val="1"/>
      <w:marLeft w:val="0"/>
      <w:marRight w:val="0"/>
      <w:marTop w:val="0"/>
      <w:marBottom w:val="0"/>
      <w:divBdr>
        <w:top w:val="none" w:sz="0" w:space="0" w:color="auto"/>
        <w:left w:val="none" w:sz="0" w:space="0" w:color="auto"/>
        <w:bottom w:val="none" w:sz="0" w:space="0" w:color="auto"/>
        <w:right w:val="none" w:sz="0" w:space="0" w:color="auto"/>
      </w:divBdr>
    </w:div>
    <w:div w:id="534541481">
      <w:bodyDiv w:val="1"/>
      <w:marLeft w:val="0"/>
      <w:marRight w:val="0"/>
      <w:marTop w:val="0"/>
      <w:marBottom w:val="0"/>
      <w:divBdr>
        <w:top w:val="none" w:sz="0" w:space="0" w:color="auto"/>
        <w:left w:val="none" w:sz="0" w:space="0" w:color="auto"/>
        <w:bottom w:val="none" w:sz="0" w:space="0" w:color="auto"/>
        <w:right w:val="none" w:sz="0" w:space="0" w:color="auto"/>
      </w:divBdr>
    </w:div>
    <w:div w:id="620110151">
      <w:bodyDiv w:val="1"/>
      <w:marLeft w:val="0"/>
      <w:marRight w:val="0"/>
      <w:marTop w:val="0"/>
      <w:marBottom w:val="0"/>
      <w:divBdr>
        <w:top w:val="none" w:sz="0" w:space="0" w:color="auto"/>
        <w:left w:val="none" w:sz="0" w:space="0" w:color="auto"/>
        <w:bottom w:val="none" w:sz="0" w:space="0" w:color="auto"/>
        <w:right w:val="none" w:sz="0" w:space="0" w:color="auto"/>
      </w:divBdr>
    </w:div>
    <w:div w:id="798694040">
      <w:bodyDiv w:val="1"/>
      <w:marLeft w:val="0"/>
      <w:marRight w:val="0"/>
      <w:marTop w:val="0"/>
      <w:marBottom w:val="0"/>
      <w:divBdr>
        <w:top w:val="none" w:sz="0" w:space="0" w:color="auto"/>
        <w:left w:val="none" w:sz="0" w:space="0" w:color="auto"/>
        <w:bottom w:val="none" w:sz="0" w:space="0" w:color="auto"/>
        <w:right w:val="none" w:sz="0" w:space="0" w:color="auto"/>
      </w:divBdr>
    </w:div>
    <w:div w:id="1078869657">
      <w:bodyDiv w:val="1"/>
      <w:marLeft w:val="0"/>
      <w:marRight w:val="0"/>
      <w:marTop w:val="0"/>
      <w:marBottom w:val="0"/>
      <w:divBdr>
        <w:top w:val="none" w:sz="0" w:space="0" w:color="auto"/>
        <w:left w:val="none" w:sz="0" w:space="0" w:color="auto"/>
        <w:bottom w:val="none" w:sz="0" w:space="0" w:color="auto"/>
        <w:right w:val="none" w:sz="0" w:space="0" w:color="auto"/>
      </w:divBdr>
    </w:div>
    <w:div w:id="1093628670">
      <w:bodyDiv w:val="1"/>
      <w:marLeft w:val="0"/>
      <w:marRight w:val="0"/>
      <w:marTop w:val="0"/>
      <w:marBottom w:val="0"/>
      <w:divBdr>
        <w:top w:val="none" w:sz="0" w:space="0" w:color="auto"/>
        <w:left w:val="none" w:sz="0" w:space="0" w:color="auto"/>
        <w:bottom w:val="none" w:sz="0" w:space="0" w:color="auto"/>
        <w:right w:val="none" w:sz="0" w:space="0" w:color="auto"/>
      </w:divBdr>
    </w:div>
    <w:div w:id="1418021807">
      <w:bodyDiv w:val="1"/>
      <w:marLeft w:val="0"/>
      <w:marRight w:val="0"/>
      <w:marTop w:val="0"/>
      <w:marBottom w:val="0"/>
      <w:divBdr>
        <w:top w:val="none" w:sz="0" w:space="0" w:color="auto"/>
        <w:left w:val="none" w:sz="0" w:space="0" w:color="auto"/>
        <w:bottom w:val="none" w:sz="0" w:space="0" w:color="auto"/>
        <w:right w:val="none" w:sz="0" w:space="0" w:color="auto"/>
      </w:divBdr>
    </w:div>
    <w:div w:id="210052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E6C05-5AD6-4CC3-8727-4D754B1BF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2119</Words>
  <Characters>10704</Characters>
  <Application>Microsoft Office Word</Application>
  <DocSecurity>8</DocSecurity>
  <Lines>89</Lines>
  <Paragraphs>25</Paragraphs>
  <ScaleCrop>false</ScaleCrop>
  <HeadingPairs>
    <vt:vector size="2" baseType="variant">
      <vt:variant>
        <vt:lpstr>Title</vt:lpstr>
      </vt:variant>
      <vt:variant>
        <vt:i4>1</vt:i4>
      </vt:variant>
    </vt:vector>
  </HeadingPairs>
  <TitlesOfParts>
    <vt:vector size="1" baseType="lpstr">
      <vt:lpstr>DEPARTMENT OF BUILDING INSPECTION</vt:lpstr>
    </vt:vector>
  </TitlesOfParts>
  <Company>SF DBI</Company>
  <LinksUpToDate>false</LinksUpToDate>
  <CharactersWithSpaces>12798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BUILDING INSPECTION</dc:title>
  <dc:subject/>
  <dc:creator>jwyip</dc:creator>
  <cp:keywords/>
  <dc:description/>
  <cp:lastModifiedBy>Corazon Ella</cp:lastModifiedBy>
  <cp:revision>3</cp:revision>
  <cp:lastPrinted>2016-01-29T18:43:00Z</cp:lastPrinted>
  <dcterms:created xsi:type="dcterms:W3CDTF">2016-02-01T17:27:00Z</dcterms:created>
  <dcterms:modified xsi:type="dcterms:W3CDTF">2016-02-01T17:27:00Z</dcterms:modified>
</cp:coreProperties>
</file>